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74" w:rsidRPr="00357574" w:rsidRDefault="00357574" w:rsidP="00357574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357574">
        <w:rPr>
          <w:rFonts w:ascii="Arial" w:hAnsi="Arial"/>
          <w:b/>
          <w:color w:val="FF0000"/>
          <w:sz w:val="28"/>
          <w:szCs w:val="28"/>
        </w:rPr>
        <w:t xml:space="preserve">BABIŠTVO – stari </w:t>
      </w:r>
      <w:r>
        <w:rPr>
          <w:rFonts w:ascii="Arial" w:hAnsi="Arial"/>
          <w:b/>
          <w:color w:val="FF0000"/>
          <w:sz w:val="28"/>
          <w:szCs w:val="28"/>
        </w:rPr>
        <w:t xml:space="preserve">študijski </w:t>
      </w:r>
      <w:r w:rsidRPr="00357574">
        <w:rPr>
          <w:rFonts w:ascii="Arial" w:hAnsi="Arial"/>
          <w:b/>
          <w:color w:val="FF0000"/>
          <w:sz w:val="28"/>
          <w:szCs w:val="28"/>
        </w:rPr>
        <w:t>program</w:t>
      </w:r>
    </w:p>
    <w:p w:rsidR="00357574" w:rsidRDefault="00357574" w:rsidP="00357574">
      <w:pPr>
        <w:jc w:val="both"/>
        <w:rPr>
          <w:rFonts w:ascii="Arial" w:hAnsi="Arial"/>
          <w:b/>
        </w:rPr>
      </w:pPr>
    </w:p>
    <w:p w:rsidR="00357574" w:rsidRPr="00357574" w:rsidRDefault="00357574" w:rsidP="001B34C7">
      <w:pPr>
        <w:pStyle w:val="NormalWeb1"/>
        <w:numPr>
          <w:ilvl w:val="0"/>
          <w:numId w:val="7"/>
        </w:numPr>
        <w:jc w:val="center"/>
        <w:rPr>
          <w:rFonts w:ascii="Arial" w:hAnsi="Arial"/>
          <w:b/>
          <w:color w:val="FF0000"/>
        </w:rPr>
      </w:pPr>
      <w:r w:rsidRPr="00357574">
        <w:rPr>
          <w:rFonts w:ascii="Arial" w:hAnsi="Arial"/>
          <w:b/>
          <w:color w:val="FF0000"/>
        </w:rPr>
        <w:t>SPLOŠNI PODATKI O PROGRAMU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1.1. Naslov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Visokošolski strokovni študijski program babištvo.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357574" w:rsidRPr="00357574" w:rsidRDefault="00357574" w:rsidP="00357574">
      <w:pPr>
        <w:pStyle w:val="NormalWeb1"/>
        <w:jc w:val="both"/>
        <w:rPr>
          <w:rFonts w:ascii="Arial" w:hAnsi="Arial"/>
          <w:u w:val="single"/>
        </w:rPr>
      </w:pPr>
      <w:r w:rsidRPr="00357574">
        <w:rPr>
          <w:rFonts w:ascii="Arial" w:hAnsi="Arial"/>
          <w:u w:val="single"/>
        </w:rPr>
        <w:t>Vrsta programa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Triletni dodiplomski visokošolski strokovni študijski program babištvo za pridobitev visoke strokovne izobrazbe zdravstvene usmeritve.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1.2. Trajanje študija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Šest semestrov, oziroma 4600 ur (sektorska direktiva Sveta EU 80/155/EEC) in eno leto absolventskega staža.</w:t>
      </w: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 </w:t>
      </w: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1.3. Temeljni cilji programa 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Visokošolski strokovni študijski program za diplomirane babice temelji na:</w:t>
      </w:r>
    </w:p>
    <w:p w:rsidR="00357574" w:rsidRDefault="00357574" w:rsidP="00357574">
      <w:pPr>
        <w:pStyle w:val="NormalWeb1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dejavnostih babic, ki jih predpisujejo sektorske direktive EU;</w:t>
      </w:r>
    </w:p>
    <w:p w:rsidR="00357574" w:rsidRDefault="00357574" w:rsidP="00357574">
      <w:pPr>
        <w:pStyle w:val="NormalWeb1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načelih evropskega visokega šolstva (Bolonjski deklaraciji);</w:t>
      </w:r>
    </w:p>
    <w:p w:rsidR="00357574" w:rsidRDefault="00357574" w:rsidP="00357574">
      <w:pPr>
        <w:pStyle w:val="NormalWeb1"/>
        <w:numPr>
          <w:ilvl w:val="0"/>
          <w:numId w:val="5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potrebah populacije ter upošteva sodobne trende razvoja stroke in predvidene potrebe v prihodnosti;</w:t>
      </w:r>
    </w:p>
    <w:p w:rsidR="00357574" w:rsidRDefault="00357574" w:rsidP="00357574">
      <w:pPr>
        <w:pStyle w:val="NormalWeb1"/>
        <w:numPr>
          <w:ilvl w:val="0"/>
          <w:numId w:val="5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dosedanjem delu in izkušnjah babic ter drugih zdravstvenih delavcev na obravnavanem področju;</w:t>
      </w:r>
    </w:p>
    <w:p w:rsidR="00357574" w:rsidRDefault="00357574" w:rsidP="00357574">
      <w:pPr>
        <w:pStyle w:val="NormalWeb1"/>
        <w:numPr>
          <w:ilvl w:val="0"/>
          <w:numId w:val="5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smernicah Svetovne zdravstvene organizacije o varovanju in pospeševanju zdravja (cilji WHO za </w:t>
      </w:r>
      <w:proofErr w:type="spellStart"/>
      <w:r>
        <w:rPr>
          <w:rFonts w:ascii="Arial" w:hAnsi="Arial"/>
        </w:rPr>
        <w:t>21.stoletje</w:t>
      </w:r>
      <w:proofErr w:type="spellEnd"/>
      <w:r>
        <w:rPr>
          <w:rFonts w:ascii="Arial" w:hAnsi="Arial"/>
        </w:rPr>
        <w:t>).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Pr="00357574" w:rsidRDefault="00357574" w:rsidP="00357574">
      <w:pPr>
        <w:pStyle w:val="NormalWeb1"/>
        <w:jc w:val="both"/>
        <w:rPr>
          <w:rFonts w:ascii="Arial" w:hAnsi="Arial"/>
          <w:u w:val="single"/>
        </w:rPr>
      </w:pPr>
      <w:r w:rsidRPr="00357574">
        <w:rPr>
          <w:rFonts w:ascii="Arial" w:hAnsi="Arial"/>
          <w:u w:val="single"/>
        </w:rPr>
        <w:t>Cilji študijskega programa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Diplomant:</w:t>
      </w:r>
    </w:p>
    <w:p w:rsidR="00357574" w:rsidRP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v celoti razvije svoje osebnostne, izobrazbene in strokovne sposobnosti oz. usvoji pozitivno profesionalno identiteto;</w:t>
      </w:r>
    </w:p>
    <w:p w:rsidR="00357574" w:rsidRP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se med študijem razvije v  samostojnega izvajalca babiške nege, s sposobnostjo empatije in samostojnosti, ki se zaveda odgovornosti svojih odločitev ter dejanj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je sposoben delovati po načelih sodobnega babištva, ki poudarja da so nosečnost, porod in poporodno obdobje fiziološka stanja ter upošteva individualnost, partnerski odnos in celosten pristop k posameznemu varovancu in družini;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zna ugotavljati potrebe po babiški negi, jo načrtovati, izvajati in vrednotiti;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se je v praksi sposoben vključevati v zdravstveni in negovalni tim in delovati na vseh nivojih zdravstvenega varstva;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je usposobljen za celosten pristop pri delu z varovanci, razume in zna uporabljati teorijo sistemov;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se </w:t>
      </w:r>
      <w:proofErr w:type="spellStart"/>
      <w:r>
        <w:rPr>
          <w:rFonts w:ascii="Arial" w:hAnsi="Arial"/>
          <w:lang w:val="de-DE"/>
        </w:rPr>
        <w:t>zaveda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zakonske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moralne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etične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odgovornosti</w:t>
      </w:r>
      <w:proofErr w:type="spellEnd"/>
      <w:r>
        <w:rPr>
          <w:rFonts w:ascii="Arial" w:hAnsi="Arial"/>
          <w:lang w:val="de-DE"/>
        </w:rPr>
        <w:t xml:space="preserve"> v </w:t>
      </w:r>
      <w:proofErr w:type="spellStart"/>
      <w:r>
        <w:rPr>
          <w:rFonts w:ascii="Arial" w:hAnsi="Arial"/>
          <w:lang w:val="de-DE"/>
        </w:rPr>
        <w:t>poklicnem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privatnem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življenju</w:t>
      </w:r>
      <w:proofErr w:type="spellEnd"/>
      <w:r>
        <w:rPr>
          <w:rFonts w:ascii="Arial" w:hAnsi="Arial"/>
          <w:lang w:val="de-DE"/>
        </w:rPr>
        <w:t>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je </w:t>
      </w:r>
      <w:proofErr w:type="spellStart"/>
      <w:r>
        <w:rPr>
          <w:rFonts w:ascii="Arial" w:hAnsi="Arial"/>
          <w:lang w:val="de-DE"/>
        </w:rPr>
        <w:t>usposobljen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opravljanje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nalog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zdravstvenega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vzgojitelja</w:t>
      </w:r>
      <w:proofErr w:type="spellEnd"/>
      <w:r>
        <w:rPr>
          <w:rFonts w:ascii="Arial" w:hAnsi="Arial"/>
          <w:lang w:val="de-DE"/>
        </w:rPr>
        <w:t>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je </w:t>
      </w:r>
      <w:proofErr w:type="spellStart"/>
      <w:r>
        <w:rPr>
          <w:rFonts w:ascii="Arial" w:hAnsi="Arial"/>
          <w:lang w:val="de-DE"/>
        </w:rPr>
        <w:t>seznanjen</w:t>
      </w:r>
      <w:proofErr w:type="spellEnd"/>
      <w:r>
        <w:rPr>
          <w:rFonts w:ascii="Arial" w:hAnsi="Arial"/>
          <w:lang w:val="de-DE"/>
        </w:rPr>
        <w:t xml:space="preserve"> z </w:t>
      </w:r>
      <w:proofErr w:type="spellStart"/>
      <w:r>
        <w:rPr>
          <w:rFonts w:ascii="Arial" w:hAnsi="Arial"/>
          <w:lang w:val="de-DE"/>
        </w:rPr>
        <w:t>novimi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spoznanji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sorodnih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ved</w:t>
      </w:r>
      <w:proofErr w:type="spellEnd"/>
      <w:r>
        <w:rPr>
          <w:rFonts w:ascii="Arial" w:hAnsi="Arial"/>
          <w:lang w:val="de-DE"/>
        </w:rPr>
        <w:t xml:space="preserve"> (</w:t>
      </w:r>
      <w:proofErr w:type="spellStart"/>
      <w:r>
        <w:rPr>
          <w:rFonts w:ascii="Arial" w:hAnsi="Arial"/>
          <w:lang w:val="de-DE"/>
        </w:rPr>
        <w:t>naravoslovnih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humanističnih</w:t>
      </w:r>
      <w:proofErr w:type="spellEnd"/>
      <w:r>
        <w:rPr>
          <w:rFonts w:ascii="Arial" w:hAnsi="Arial"/>
          <w:lang w:val="de-DE"/>
        </w:rPr>
        <w:t xml:space="preserve">), </w:t>
      </w:r>
      <w:proofErr w:type="spellStart"/>
      <w:r>
        <w:rPr>
          <w:rFonts w:ascii="Arial" w:hAnsi="Arial"/>
          <w:lang w:val="de-DE"/>
        </w:rPr>
        <w:t>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jih</w:t>
      </w:r>
      <w:proofErr w:type="spellEnd"/>
      <w:r>
        <w:rPr>
          <w:rFonts w:ascii="Arial" w:hAnsi="Arial"/>
          <w:lang w:val="de-DE"/>
        </w:rPr>
        <w:t xml:space="preserve"> je </w:t>
      </w:r>
      <w:proofErr w:type="spellStart"/>
      <w:r>
        <w:rPr>
          <w:rFonts w:ascii="Arial" w:hAnsi="Arial"/>
          <w:lang w:val="de-DE"/>
        </w:rPr>
        <w:t>sposoben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uporabiti</w:t>
      </w:r>
      <w:proofErr w:type="spellEnd"/>
      <w:r>
        <w:rPr>
          <w:rFonts w:ascii="Arial" w:hAnsi="Arial"/>
          <w:lang w:val="de-DE"/>
        </w:rPr>
        <w:t xml:space="preserve"> v </w:t>
      </w:r>
      <w:proofErr w:type="spellStart"/>
      <w:r>
        <w:rPr>
          <w:rFonts w:ascii="Arial" w:hAnsi="Arial"/>
          <w:lang w:val="de-DE"/>
        </w:rPr>
        <w:t>povezavi</w:t>
      </w:r>
      <w:proofErr w:type="spellEnd"/>
      <w:r>
        <w:rPr>
          <w:rFonts w:ascii="Arial" w:hAnsi="Arial"/>
          <w:lang w:val="de-DE"/>
        </w:rPr>
        <w:t xml:space="preserve"> s </w:t>
      </w:r>
      <w:proofErr w:type="spellStart"/>
      <w:r>
        <w:rPr>
          <w:rFonts w:ascii="Arial" w:hAnsi="Arial"/>
          <w:lang w:val="de-DE"/>
        </w:rPr>
        <w:t>stroko</w:t>
      </w:r>
      <w:proofErr w:type="spellEnd"/>
      <w:r>
        <w:rPr>
          <w:rFonts w:ascii="Arial" w:hAnsi="Arial"/>
          <w:lang w:val="de-DE"/>
        </w:rPr>
        <w:t xml:space="preserve"> – </w:t>
      </w:r>
      <w:proofErr w:type="spellStart"/>
      <w:r>
        <w:rPr>
          <w:rFonts w:ascii="Arial" w:hAnsi="Arial"/>
          <w:lang w:val="de-DE"/>
        </w:rPr>
        <w:t>babištvom</w:t>
      </w:r>
      <w:proofErr w:type="spellEnd"/>
      <w:r>
        <w:rPr>
          <w:rFonts w:ascii="Arial" w:hAnsi="Arial"/>
          <w:lang w:val="de-DE"/>
        </w:rPr>
        <w:t>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je </w:t>
      </w:r>
      <w:proofErr w:type="spellStart"/>
      <w:r>
        <w:rPr>
          <w:rFonts w:ascii="Arial" w:hAnsi="Arial"/>
          <w:lang w:val="de-DE"/>
        </w:rPr>
        <w:t>informiran</w:t>
      </w:r>
      <w:proofErr w:type="spellEnd"/>
      <w:r>
        <w:rPr>
          <w:rFonts w:ascii="Arial" w:hAnsi="Arial"/>
          <w:lang w:val="de-DE"/>
        </w:rPr>
        <w:t xml:space="preserve"> o </w:t>
      </w:r>
      <w:proofErr w:type="spellStart"/>
      <w:r>
        <w:rPr>
          <w:rFonts w:ascii="Arial" w:hAnsi="Arial"/>
          <w:lang w:val="de-DE"/>
        </w:rPr>
        <w:t>raziskovalnem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delu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njegovem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pomenu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razvoj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babištva</w:t>
      </w:r>
      <w:proofErr w:type="spellEnd"/>
      <w:r>
        <w:rPr>
          <w:rFonts w:ascii="Arial" w:hAnsi="Arial"/>
          <w:lang w:val="de-DE"/>
        </w:rPr>
        <w:t>;</w:t>
      </w:r>
    </w:p>
    <w:p w:rsidR="00357574" w:rsidRDefault="00357574" w:rsidP="00357574">
      <w:pPr>
        <w:pStyle w:val="NormalWeb1"/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je </w:t>
      </w:r>
      <w:proofErr w:type="spellStart"/>
      <w:r>
        <w:rPr>
          <w:rFonts w:ascii="Arial" w:hAnsi="Arial"/>
          <w:lang w:val="de-DE"/>
        </w:rPr>
        <w:t>usposobljen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samoizobraževanje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podiplomsko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organizirano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izobraževanje</w:t>
      </w:r>
      <w:proofErr w:type="spellEnd"/>
      <w:r>
        <w:rPr>
          <w:rFonts w:ascii="Arial" w:hAnsi="Arial"/>
          <w:lang w:val="de-DE"/>
        </w:rPr>
        <w:t xml:space="preserve"> in se </w:t>
      </w:r>
      <w:proofErr w:type="spellStart"/>
      <w:r>
        <w:rPr>
          <w:rFonts w:ascii="Arial" w:hAnsi="Arial"/>
          <w:lang w:val="de-DE"/>
        </w:rPr>
        <w:t>zaveda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pomena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permanentnega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izobraževanja</w:t>
      </w:r>
      <w:proofErr w:type="spellEnd"/>
      <w:r>
        <w:rPr>
          <w:rFonts w:ascii="Arial" w:hAnsi="Arial"/>
          <w:lang w:val="de-DE"/>
        </w:rPr>
        <w:t>.</w:t>
      </w:r>
    </w:p>
    <w:p w:rsidR="00357574" w:rsidRDefault="00357574" w:rsidP="00357574">
      <w:pPr>
        <w:rPr>
          <w:rFonts w:ascii="Arial" w:hAnsi="Arial"/>
        </w:rPr>
      </w:pPr>
    </w:p>
    <w:p w:rsidR="00357574" w:rsidRDefault="00357574" w:rsidP="00357574">
      <w:pPr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1.4. Povezanost z drugimi programi 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Samostojni visokošolski strokovni študijski program babištvo oblikuje profil nosilca babištva. Temelji na sektorski direktivi Sveta EU 80/155/EEC -dodatkih A in B. Dodatek A predpisuje teoretično izobraževanje (splošne in specifične predmete za babiško dejavnost), dodatek B pa navaja zahteve glede praktičnega usposabljanja ob ustreznem nadzoru. V programu  so upoštevane smernice WHO in ICM, kar je za države članice, med katere sodi tudi Slovenija, obvezujoče.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Vsebine programa se povezujejo s študijskimi programi, ki se izvajajo na Visoki šoli za zdravstvo.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  <w:lang w:val="de-DE"/>
        </w:rPr>
      </w:pPr>
      <w:r>
        <w:rPr>
          <w:rFonts w:ascii="Arial" w:hAnsi="Arial"/>
          <w:b/>
          <w:i/>
          <w:lang w:val="de-DE"/>
        </w:rPr>
        <w:t xml:space="preserve">1.5. </w:t>
      </w:r>
      <w:proofErr w:type="spellStart"/>
      <w:r>
        <w:rPr>
          <w:rFonts w:ascii="Arial" w:hAnsi="Arial"/>
          <w:b/>
          <w:i/>
          <w:lang w:val="de-DE"/>
        </w:rPr>
        <w:t>Vključevanje</w:t>
      </w:r>
      <w:proofErr w:type="spellEnd"/>
      <w:r>
        <w:rPr>
          <w:rFonts w:ascii="Arial" w:hAnsi="Arial"/>
          <w:b/>
          <w:i/>
          <w:lang w:val="de-DE"/>
        </w:rPr>
        <w:t xml:space="preserve"> </w:t>
      </w:r>
      <w:proofErr w:type="spellStart"/>
      <w:r>
        <w:rPr>
          <w:rFonts w:ascii="Arial" w:hAnsi="Arial"/>
          <w:b/>
          <w:i/>
          <w:lang w:val="de-DE"/>
        </w:rPr>
        <w:t>programa</w:t>
      </w:r>
      <w:proofErr w:type="spellEnd"/>
      <w:r>
        <w:rPr>
          <w:rFonts w:ascii="Arial" w:hAnsi="Arial"/>
          <w:b/>
          <w:i/>
          <w:lang w:val="de-DE"/>
        </w:rPr>
        <w:t xml:space="preserve"> v </w:t>
      </w:r>
      <w:proofErr w:type="spellStart"/>
      <w:r>
        <w:rPr>
          <w:rFonts w:ascii="Arial" w:hAnsi="Arial"/>
          <w:b/>
          <w:i/>
          <w:lang w:val="de-DE"/>
        </w:rPr>
        <w:t>kreditni</w:t>
      </w:r>
      <w:proofErr w:type="spellEnd"/>
      <w:r>
        <w:rPr>
          <w:rFonts w:ascii="Arial" w:hAnsi="Arial"/>
          <w:b/>
          <w:i/>
          <w:lang w:val="de-DE"/>
        </w:rPr>
        <w:t xml:space="preserve"> </w:t>
      </w:r>
      <w:proofErr w:type="spellStart"/>
      <w:r>
        <w:rPr>
          <w:rFonts w:ascii="Arial" w:hAnsi="Arial"/>
          <w:b/>
          <w:i/>
          <w:lang w:val="de-DE"/>
        </w:rPr>
        <w:t>sistem</w:t>
      </w:r>
      <w:proofErr w:type="spellEnd"/>
      <w:r>
        <w:rPr>
          <w:rFonts w:ascii="Arial" w:hAnsi="Arial"/>
          <w:b/>
          <w:i/>
          <w:lang w:val="de-DE"/>
        </w:rPr>
        <w:t xml:space="preserve"> </w:t>
      </w:r>
      <w:proofErr w:type="spellStart"/>
      <w:r>
        <w:rPr>
          <w:rFonts w:ascii="Arial" w:hAnsi="Arial"/>
          <w:b/>
          <w:i/>
          <w:lang w:val="de-DE"/>
        </w:rPr>
        <w:t>študija</w:t>
      </w:r>
      <w:proofErr w:type="spellEnd"/>
      <w:r>
        <w:rPr>
          <w:rFonts w:ascii="Arial" w:hAnsi="Arial"/>
          <w:b/>
          <w:i/>
          <w:lang w:val="de-DE"/>
        </w:rPr>
        <w:t xml:space="preserve"> 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Evropski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sistem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transferja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kreditov</w:t>
      </w:r>
      <w:proofErr w:type="spellEnd"/>
      <w:r>
        <w:rPr>
          <w:rFonts w:ascii="Arial" w:hAnsi="Arial"/>
          <w:lang w:val="de-DE"/>
        </w:rPr>
        <w:t xml:space="preserve">  (ECTS - 180 </w:t>
      </w:r>
      <w:proofErr w:type="spellStart"/>
      <w:r>
        <w:rPr>
          <w:rFonts w:ascii="Arial" w:hAnsi="Arial"/>
          <w:lang w:val="de-DE"/>
        </w:rPr>
        <w:t>kreditov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triletni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študijski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program</w:t>
      </w:r>
      <w:proofErr w:type="spellEnd"/>
      <w:r>
        <w:rPr>
          <w:rFonts w:ascii="Arial" w:hAnsi="Arial"/>
          <w:lang w:val="de-DE"/>
        </w:rPr>
        <w:t xml:space="preserve">), </w:t>
      </w:r>
      <w:proofErr w:type="spellStart"/>
      <w:r>
        <w:rPr>
          <w:rFonts w:ascii="Arial" w:hAnsi="Arial"/>
          <w:lang w:val="de-DE"/>
        </w:rPr>
        <w:t>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ga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priporoča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Univerza</w:t>
      </w:r>
      <w:proofErr w:type="spellEnd"/>
      <w:r>
        <w:rPr>
          <w:rFonts w:ascii="Arial" w:hAnsi="Arial"/>
          <w:lang w:val="de-DE"/>
        </w:rPr>
        <w:t xml:space="preserve"> v </w:t>
      </w:r>
      <w:proofErr w:type="spellStart"/>
      <w:r>
        <w:rPr>
          <w:rFonts w:ascii="Arial" w:hAnsi="Arial"/>
          <w:lang w:val="de-DE"/>
        </w:rPr>
        <w:t>Ljubljani</w:t>
      </w:r>
      <w:proofErr w:type="spellEnd"/>
      <w:r>
        <w:rPr>
          <w:rFonts w:ascii="Arial" w:hAnsi="Arial"/>
          <w:lang w:val="de-DE"/>
        </w:rPr>
        <w:t xml:space="preserve"> in je </w:t>
      </w:r>
      <w:proofErr w:type="spellStart"/>
      <w:r>
        <w:rPr>
          <w:rFonts w:ascii="Arial" w:hAnsi="Arial"/>
          <w:lang w:val="de-DE"/>
        </w:rPr>
        <w:t>trenutno</w:t>
      </w:r>
      <w:proofErr w:type="spellEnd"/>
      <w:r>
        <w:rPr>
          <w:rFonts w:ascii="Arial" w:hAnsi="Arial"/>
          <w:lang w:val="de-DE"/>
        </w:rPr>
        <w:t xml:space="preserve"> v </w:t>
      </w:r>
      <w:proofErr w:type="spellStart"/>
      <w:r>
        <w:rPr>
          <w:rFonts w:ascii="Arial" w:hAnsi="Arial"/>
          <w:lang w:val="de-DE"/>
        </w:rPr>
        <w:t>rabi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narekuje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ovrednotenje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modulov</w:t>
      </w:r>
      <w:proofErr w:type="spellEnd"/>
      <w:r>
        <w:rPr>
          <w:rFonts w:ascii="Arial" w:hAnsi="Arial"/>
          <w:lang w:val="de-DE"/>
        </w:rPr>
        <w:t xml:space="preserve"> s </w:t>
      </w:r>
      <w:proofErr w:type="spellStart"/>
      <w:r>
        <w:rPr>
          <w:rFonts w:ascii="Arial" w:hAnsi="Arial"/>
          <w:lang w:val="de-DE"/>
        </w:rPr>
        <w:t>splošnimi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teoretičnimi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predmeti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seminarji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vajami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prakso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ki</w:t>
      </w:r>
      <w:proofErr w:type="spellEnd"/>
      <w:r>
        <w:rPr>
          <w:rFonts w:ascii="Arial" w:hAnsi="Arial"/>
          <w:lang w:val="de-DE"/>
        </w:rPr>
        <w:t xml:space="preserve"> so </w:t>
      </w:r>
      <w:proofErr w:type="spellStart"/>
      <w:r>
        <w:rPr>
          <w:rFonts w:ascii="Arial" w:hAnsi="Arial"/>
          <w:lang w:val="de-DE"/>
        </w:rPr>
        <w:t>vključeni</w:t>
      </w:r>
      <w:proofErr w:type="spellEnd"/>
      <w:r>
        <w:rPr>
          <w:rFonts w:ascii="Arial" w:hAnsi="Arial"/>
          <w:lang w:val="de-DE"/>
        </w:rPr>
        <w:t xml:space="preserve"> v </w:t>
      </w:r>
      <w:proofErr w:type="spellStart"/>
      <w:r>
        <w:rPr>
          <w:rFonts w:ascii="Arial" w:hAnsi="Arial"/>
          <w:lang w:val="de-DE"/>
        </w:rPr>
        <w:t>naš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študijski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program</w:t>
      </w:r>
      <w:proofErr w:type="spellEnd"/>
      <w:r>
        <w:rPr>
          <w:rFonts w:ascii="Arial" w:hAnsi="Arial"/>
          <w:lang w:val="de-DE"/>
        </w:rPr>
        <w:t>.</w:t>
      </w: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 </w:t>
      </w: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 xml:space="preserve">1.6. Način vključevanja programa v mednarodno sodelovanje oziroma v skupni evropski visokošolski prostor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Visokošolski strokovni študijski program babištvo je primerljiv s strani EU priznanimi študijskimi programi za babice iz naslednjih izobraževalnih ustanov:</w:t>
      </w:r>
    </w:p>
    <w:p w:rsidR="00357574" w:rsidRDefault="00357574" w:rsidP="001B34C7">
      <w:pPr>
        <w:pStyle w:val="NormalWeb1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The Robert Gordon </w:t>
      </w:r>
      <w:proofErr w:type="spellStart"/>
      <w:r>
        <w:rPr>
          <w:rFonts w:ascii="Arial" w:hAnsi="Arial"/>
        </w:rPr>
        <w:t>University</w:t>
      </w:r>
      <w:proofErr w:type="spellEnd"/>
      <w:r>
        <w:rPr>
          <w:rFonts w:ascii="Arial" w:hAnsi="Arial"/>
        </w:rPr>
        <w:t>, Aberdeen, Škotska</w:t>
      </w:r>
    </w:p>
    <w:p w:rsidR="00357574" w:rsidRDefault="00357574" w:rsidP="001B34C7">
      <w:pPr>
        <w:pStyle w:val="NormalWeb1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Montfort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University</w:t>
      </w:r>
      <w:proofErr w:type="spellEnd"/>
      <w:r>
        <w:rPr>
          <w:rFonts w:ascii="Arial" w:hAnsi="Arial"/>
        </w:rPr>
        <w:t>, Anglija</w:t>
      </w:r>
    </w:p>
    <w:p w:rsidR="00357574" w:rsidRDefault="00357574" w:rsidP="001B34C7">
      <w:pPr>
        <w:pStyle w:val="NormalWeb1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Avstrijski državni program za babice (Avstrijski državni inštitut za zdravje).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Pr="00357574" w:rsidRDefault="00357574" w:rsidP="00357574">
      <w:pPr>
        <w:pStyle w:val="NormalWeb1"/>
        <w:jc w:val="both"/>
        <w:rPr>
          <w:rFonts w:ascii="Arial" w:hAnsi="Arial"/>
          <w:u w:val="single"/>
        </w:rPr>
      </w:pPr>
      <w:r w:rsidRPr="00357574">
        <w:rPr>
          <w:rFonts w:ascii="Arial" w:hAnsi="Arial"/>
          <w:u w:val="single"/>
        </w:rPr>
        <w:t>Nadaljn</w:t>
      </w:r>
      <w:r w:rsidRPr="00357574">
        <w:rPr>
          <w:rFonts w:ascii="Arial" w:hAnsi="Arial"/>
          <w:u w:val="single"/>
        </w:rPr>
        <w:t>j</w:t>
      </w:r>
      <w:r w:rsidRPr="00357574">
        <w:rPr>
          <w:rFonts w:ascii="Arial" w:hAnsi="Arial"/>
          <w:u w:val="single"/>
        </w:rPr>
        <w:t>i razvoj programa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Za nadaljn</w:t>
      </w:r>
      <w:r>
        <w:rPr>
          <w:rFonts w:ascii="Arial" w:hAnsi="Arial"/>
        </w:rPr>
        <w:t>j</w:t>
      </w:r>
      <w:r>
        <w:rPr>
          <w:rFonts w:ascii="Arial" w:hAnsi="Arial"/>
        </w:rPr>
        <w:t>i razvoj programa je predvidena stalna primerjava programa z usmeritvami Svetovne zdravstvene organizacije in Mednarodne zveze babic  ter sektorskimi direktivami Evropske unije, ki določajo minimalni obseg, vsebino in obliko študija babištvo. Zagotovljena bo stalna primerjava z merljivi</w:t>
      </w:r>
      <w:r>
        <w:rPr>
          <w:rFonts w:ascii="Arial" w:hAnsi="Arial"/>
        </w:rPr>
        <w:t>mi tujimi študijskimi programi.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Pr="00357574" w:rsidRDefault="00357574" w:rsidP="00357574">
      <w:pPr>
        <w:pStyle w:val="NormalWeb1"/>
        <w:jc w:val="both"/>
        <w:rPr>
          <w:rFonts w:ascii="Arial" w:hAnsi="Arial"/>
          <w:u w:val="single"/>
        </w:rPr>
      </w:pPr>
      <w:r w:rsidRPr="00357574">
        <w:rPr>
          <w:rFonts w:ascii="Arial" w:hAnsi="Arial"/>
          <w:u w:val="single"/>
        </w:rPr>
        <w:t>Mednarodna izmenjava študentov</w:t>
      </w:r>
    </w:p>
    <w:p w:rsidR="00357574" w:rsidRP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 xml:space="preserve">Izmenjava študentov, ki lahko del prakse opravljajo na ustreznih ustanovah v tujini, že poteka (Socrates </w:t>
      </w:r>
      <w:proofErr w:type="spellStart"/>
      <w:r>
        <w:rPr>
          <w:rFonts w:ascii="Arial" w:hAnsi="Arial"/>
        </w:rPr>
        <w:t>Erasmus</w:t>
      </w:r>
      <w:proofErr w:type="spellEnd"/>
      <w:r>
        <w:rPr>
          <w:rFonts w:ascii="Arial" w:hAnsi="Arial"/>
        </w:rPr>
        <w:t xml:space="preserve"> program in drugi). Enako velja za tuje študente, ki so že in bodo opravljali prakso pri nas po</w:t>
      </w:r>
      <w:r>
        <w:rPr>
          <w:rFonts w:ascii="Arial" w:hAnsi="Arial"/>
        </w:rPr>
        <w:t>d vodstvom mentorjev iz stroke.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</w:p>
    <w:p w:rsidR="00357574" w:rsidRPr="00357574" w:rsidRDefault="00357574" w:rsidP="00357574">
      <w:pPr>
        <w:pStyle w:val="NormalWeb1"/>
        <w:jc w:val="both"/>
        <w:rPr>
          <w:rFonts w:ascii="Arial" w:hAnsi="Arial"/>
          <w:u w:val="single"/>
        </w:rPr>
      </w:pPr>
      <w:r w:rsidRPr="00357574">
        <w:rPr>
          <w:rFonts w:ascii="Arial" w:hAnsi="Arial"/>
          <w:u w:val="single"/>
        </w:rPr>
        <w:t>Gostujoči učitelji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V okviru mednarodnega sodelovanja so in bodo v prihodnje občasno povabljeni tuji predavatelji za obogatitev vsebin programa. Namen mednarodnega sodelovanja je predvsem zagotavljanje primerljivosti programa z merili kakovosti študija v ostalih članicah EU.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1.7. Način </w:t>
      </w:r>
      <w:proofErr w:type="spellStart"/>
      <w:r>
        <w:rPr>
          <w:rFonts w:ascii="Arial" w:hAnsi="Arial"/>
          <w:b/>
          <w:i/>
        </w:rPr>
        <w:t>samoevalviranja</w:t>
      </w:r>
      <w:proofErr w:type="spellEnd"/>
      <w:r>
        <w:rPr>
          <w:rFonts w:ascii="Arial" w:hAnsi="Arial"/>
          <w:b/>
          <w:i/>
        </w:rPr>
        <w:t xml:space="preserve"> študijskega programa 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Za zagotavljanje in preverjanje kvalitete študijskega programa uporabljamo:</w:t>
      </w:r>
    </w:p>
    <w:p w:rsidR="00357574" w:rsidRDefault="00357574" w:rsidP="00357574">
      <w:pPr>
        <w:pStyle w:val="NormalWeb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vrednotenje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programa</w:t>
      </w:r>
      <w:proofErr w:type="spellEnd"/>
      <w:r>
        <w:rPr>
          <w:rFonts w:ascii="Arial" w:hAnsi="Arial"/>
          <w:lang w:val="de-DE"/>
        </w:rPr>
        <w:t xml:space="preserve"> ob </w:t>
      </w:r>
      <w:proofErr w:type="spellStart"/>
      <w:r>
        <w:rPr>
          <w:rFonts w:ascii="Arial" w:hAnsi="Arial"/>
          <w:lang w:val="de-DE"/>
        </w:rPr>
        <w:t>sodelovanju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stroke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Univerze</w:t>
      </w:r>
      <w:proofErr w:type="spellEnd"/>
      <w:r>
        <w:rPr>
          <w:rFonts w:ascii="Arial" w:hAnsi="Arial"/>
          <w:lang w:val="de-DE"/>
        </w:rPr>
        <w:t xml:space="preserve"> (</w:t>
      </w:r>
      <w:proofErr w:type="spellStart"/>
      <w:r>
        <w:rPr>
          <w:rFonts w:ascii="Arial" w:hAnsi="Arial"/>
          <w:lang w:val="de-DE"/>
        </w:rPr>
        <w:t>praktični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diplomski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izpit</w:t>
      </w:r>
      <w:proofErr w:type="spellEnd"/>
      <w:r>
        <w:rPr>
          <w:rFonts w:ascii="Arial" w:hAnsi="Arial"/>
          <w:lang w:val="de-DE"/>
        </w:rPr>
        <w:t>);</w:t>
      </w:r>
    </w:p>
    <w:p w:rsidR="00357574" w:rsidRDefault="00357574" w:rsidP="00357574">
      <w:pPr>
        <w:pStyle w:val="NormalWeb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mednarodno primerljivost programov;</w:t>
      </w:r>
    </w:p>
    <w:p w:rsidR="00357574" w:rsidRDefault="00357574" w:rsidP="00357574">
      <w:pPr>
        <w:pStyle w:val="NormalWeb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analizo učinkovitosti študija (prehodnost, trajanje študija, število opravljanj posameznih izpitov);</w:t>
      </w:r>
    </w:p>
    <w:p w:rsidR="00357574" w:rsidRDefault="00357574" w:rsidP="00357574">
      <w:pPr>
        <w:pStyle w:val="NormalWeb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evalvacijo študijskega procesa (anketiranje študentov);</w:t>
      </w:r>
    </w:p>
    <w:p w:rsidR="00357574" w:rsidRDefault="00357574" w:rsidP="00357574">
      <w:pPr>
        <w:pStyle w:val="NormalWeb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kolegialno</w:t>
      </w:r>
      <w:proofErr w:type="spellEnd"/>
      <w:r>
        <w:rPr>
          <w:rFonts w:ascii="Arial" w:hAnsi="Arial"/>
        </w:rPr>
        <w:t xml:space="preserve"> kontrolo (sprotne spremembe);</w:t>
      </w:r>
    </w:p>
    <w:p w:rsidR="00357574" w:rsidRDefault="00357574" w:rsidP="00357574">
      <w:pPr>
        <w:pStyle w:val="NormalWeb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samoevalvacijo</w:t>
      </w:r>
      <w:proofErr w:type="spellEnd"/>
      <w:r>
        <w:rPr>
          <w:rFonts w:ascii="Arial" w:hAnsi="Arial"/>
        </w:rPr>
        <w:t xml:space="preserve"> (spremljanje kvalitete za svojo lastno dejavnost).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 xml:space="preserve">Postopki </w:t>
      </w:r>
      <w:proofErr w:type="spellStart"/>
      <w:r>
        <w:rPr>
          <w:rFonts w:ascii="Arial" w:hAnsi="Arial"/>
        </w:rPr>
        <w:t>samoevalviranja</w:t>
      </w:r>
      <w:proofErr w:type="spellEnd"/>
      <w:r>
        <w:rPr>
          <w:rFonts w:ascii="Arial" w:hAnsi="Arial"/>
        </w:rPr>
        <w:t xml:space="preserve"> programov so usklajeni s statutom Univerze v Ljubljani in priporočili “Komisije za kvaliteto visokega šolstva”.</w:t>
      </w: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 xml:space="preserve">  1.8. Raziskovalne oziroma strokovne podlage za izvedbo programa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Visoka šola za zdravstvo izvaja študijski program za izobraževanje diplomiranih babic od študijskega leta 1996/97. Vsi izvajalci študijskega programa so habilitirani visokošolski učitelji oz. strokovni sodelavci in imenovani v naslov raziskovalca ter vključeni v Raziskovalni inštitut Visoke šole za zdravstvo, Univerza v Ljubljani. Ugotovitve obstoječih raziskav so sproti vključene v vsebine študijskih programov.</w:t>
      </w: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1.11. Kadrovske zahteve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 xml:space="preserve">Predmete bodo izvajali habilitirani visokošolski učitelji in strokovni sodelavci, na sistemiziranih delovnih mestih Visoke šole za zdravstvo in drugih članicah Univerze v Ljubljani; prakso pa strokovnjaki s področja antenatalnega, perinatalnega in </w:t>
      </w:r>
      <w:proofErr w:type="spellStart"/>
      <w:r>
        <w:rPr>
          <w:rFonts w:ascii="Arial" w:hAnsi="Arial"/>
        </w:rPr>
        <w:t>postnatalnega</w:t>
      </w:r>
      <w:proofErr w:type="spellEnd"/>
      <w:r>
        <w:rPr>
          <w:rFonts w:ascii="Arial" w:hAnsi="Arial"/>
        </w:rPr>
        <w:t xml:space="preserve"> zdravstvenega varstva v zdravstvenih zavodih v Ljubljani.</w:t>
      </w: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 </w:t>
      </w: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</w:p>
    <w:p w:rsidR="00357574" w:rsidRDefault="00357574" w:rsidP="00357574">
      <w:pPr>
        <w:pStyle w:val="NormalWeb1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1.12. Materialni pogoji za izvedbo študijskega programa  </w:t>
      </w: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  <w:r>
        <w:rPr>
          <w:rFonts w:ascii="Arial" w:hAnsi="Arial"/>
        </w:rPr>
        <w:t xml:space="preserve">Študijski program (predavanja, seminarji, seminarske vaje), izvajamo v prostorih Visoke šole za zdravstvo in najetih predavalnicah v Ljubljani. Klinične vaje izvajamo v učnih bazah zdravstvenih zavodov v Ljubljani. </w:t>
      </w:r>
      <w:proofErr w:type="spellStart"/>
      <w:r>
        <w:rPr>
          <w:rFonts w:ascii="Arial" w:hAnsi="Arial"/>
          <w:lang w:val="de-DE"/>
        </w:rPr>
        <w:t>To</w:t>
      </w:r>
      <w:proofErr w:type="spellEnd"/>
      <w:r>
        <w:rPr>
          <w:rFonts w:ascii="Arial" w:hAnsi="Arial"/>
          <w:lang w:val="de-DE"/>
        </w:rPr>
        <w:t xml:space="preserve"> so </w:t>
      </w:r>
      <w:proofErr w:type="spellStart"/>
      <w:r>
        <w:rPr>
          <w:rFonts w:ascii="Arial" w:hAnsi="Arial"/>
          <w:lang w:val="de-DE"/>
        </w:rPr>
        <w:t>Klinični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center</w:t>
      </w:r>
      <w:proofErr w:type="spellEnd"/>
      <w:r>
        <w:rPr>
          <w:rFonts w:ascii="Arial" w:hAnsi="Arial"/>
          <w:lang w:val="de-DE"/>
        </w:rPr>
        <w:t xml:space="preserve"> - </w:t>
      </w:r>
      <w:proofErr w:type="spellStart"/>
      <w:r>
        <w:rPr>
          <w:rFonts w:ascii="Arial" w:hAnsi="Arial"/>
          <w:lang w:val="de-DE"/>
        </w:rPr>
        <w:t>Ginekološka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klinika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Zdravstveni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dom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drugi</w:t>
      </w:r>
      <w:proofErr w:type="spellEnd"/>
      <w:r>
        <w:rPr>
          <w:rFonts w:ascii="Arial" w:hAnsi="Arial"/>
          <w:lang w:val="de-DE"/>
        </w:rPr>
        <w:t xml:space="preserve">. V </w:t>
      </w:r>
      <w:proofErr w:type="spellStart"/>
      <w:r>
        <w:rPr>
          <w:rFonts w:ascii="Arial" w:hAnsi="Arial"/>
          <w:lang w:val="de-DE"/>
        </w:rPr>
        <w:t>omenjenih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zavodih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bo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potekala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tudi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praksa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programu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ki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ga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bo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razpisovala</w:t>
      </w:r>
      <w:proofErr w:type="spellEnd"/>
      <w:r>
        <w:rPr>
          <w:rFonts w:ascii="Arial" w:hAnsi="Arial"/>
          <w:lang w:val="de-DE"/>
        </w:rPr>
        <w:t xml:space="preserve"> in </w:t>
      </w:r>
      <w:proofErr w:type="spellStart"/>
      <w:r>
        <w:rPr>
          <w:rFonts w:ascii="Arial" w:hAnsi="Arial"/>
          <w:lang w:val="de-DE"/>
        </w:rPr>
        <w:t>usklajevala</w:t>
      </w:r>
      <w:proofErr w:type="spellEnd"/>
      <w:r>
        <w:rPr>
          <w:rFonts w:ascii="Arial" w:hAnsi="Arial"/>
          <w:lang w:val="de-DE"/>
        </w:rPr>
        <w:t xml:space="preserve"> z </w:t>
      </w:r>
      <w:proofErr w:type="spellStart"/>
      <w:r>
        <w:rPr>
          <w:rFonts w:ascii="Arial" w:hAnsi="Arial"/>
          <w:lang w:val="de-DE"/>
        </w:rPr>
        <w:t>izvajalci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prakse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Visoka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šola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zdravstvo</w:t>
      </w:r>
      <w:proofErr w:type="spellEnd"/>
      <w:r>
        <w:rPr>
          <w:rFonts w:ascii="Arial" w:hAnsi="Arial"/>
          <w:lang w:val="de-DE"/>
        </w:rPr>
        <w:t>.</w:t>
      </w: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Prostori</w:t>
      </w:r>
      <w:proofErr w:type="spellEnd"/>
      <w:r>
        <w:rPr>
          <w:rFonts w:ascii="Arial" w:hAnsi="Arial"/>
          <w:lang w:val="de-DE"/>
        </w:rPr>
        <w:t xml:space="preserve"> so </w:t>
      </w:r>
      <w:proofErr w:type="spellStart"/>
      <w:r>
        <w:rPr>
          <w:rFonts w:ascii="Arial" w:hAnsi="Arial"/>
          <w:lang w:val="de-DE"/>
        </w:rPr>
        <w:t>opremljeni</w:t>
      </w:r>
      <w:proofErr w:type="spellEnd"/>
      <w:r>
        <w:rPr>
          <w:rFonts w:ascii="Arial" w:hAnsi="Arial"/>
          <w:lang w:val="de-DE"/>
        </w:rPr>
        <w:t xml:space="preserve"> s </w:t>
      </w:r>
      <w:proofErr w:type="spellStart"/>
      <w:r>
        <w:rPr>
          <w:rFonts w:ascii="Arial" w:hAnsi="Arial"/>
          <w:lang w:val="de-DE"/>
        </w:rPr>
        <w:t>sodobnimi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učnimi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pripomočki</w:t>
      </w:r>
      <w:proofErr w:type="spellEnd"/>
      <w:r>
        <w:rPr>
          <w:rFonts w:ascii="Arial" w:hAnsi="Arial"/>
          <w:lang w:val="de-DE"/>
        </w:rPr>
        <w:t>.</w:t>
      </w:r>
    </w:p>
    <w:p w:rsidR="00357574" w:rsidRDefault="00357574" w:rsidP="00357574">
      <w:pPr>
        <w:pStyle w:val="NormalWeb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 </w:t>
      </w:r>
    </w:p>
    <w:p w:rsidR="00357574" w:rsidRDefault="00357574" w:rsidP="00357574">
      <w:pPr>
        <w:pStyle w:val="NormalWeb1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  <w:lang w:val="de-DE"/>
        </w:rPr>
      </w:pPr>
      <w:r>
        <w:rPr>
          <w:rFonts w:ascii="Arial" w:hAnsi="Arial"/>
          <w:b/>
          <w:i/>
          <w:lang w:val="de-DE"/>
        </w:rPr>
        <w:t xml:space="preserve">1.13. </w:t>
      </w:r>
      <w:proofErr w:type="spellStart"/>
      <w:r>
        <w:rPr>
          <w:rFonts w:ascii="Arial" w:hAnsi="Arial"/>
          <w:b/>
          <w:i/>
          <w:lang w:val="de-DE"/>
        </w:rPr>
        <w:t>Viri</w:t>
      </w:r>
      <w:proofErr w:type="spellEnd"/>
      <w:r>
        <w:rPr>
          <w:rFonts w:ascii="Arial" w:hAnsi="Arial"/>
          <w:b/>
          <w:i/>
          <w:lang w:val="de-DE"/>
        </w:rPr>
        <w:t xml:space="preserve"> </w:t>
      </w:r>
      <w:proofErr w:type="spellStart"/>
      <w:r>
        <w:rPr>
          <w:rFonts w:ascii="Arial" w:hAnsi="Arial"/>
          <w:b/>
          <w:i/>
          <w:lang w:val="de-DE"/>
        </w:rPr>
        <w:t>financiranja</w:t>
      </w:r>
      <w:proofErr w:type="spellEnd"/>
      <w:r>
        <w:rPr>
          <w:rFonts w:ascii="Arial" w:hAnsi="Arial"/>
          <w:b/>
          <w:i/>
          <w:lang w:val="de-DE"/>
        </w:rPr>
        <w:t xml:space="preserve"> </w:t>
      </w:r>
    </w:p>
    <w:p w:rsidR="00357574" w:rsidRDefault="00357574" w:rsidP="00357574">
      <w:pPr>
        <w:pStyle w:val="NormalWeb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Redni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študij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bomo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financirali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iz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sredstev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proračuna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Republike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Slovenije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izredni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študij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študenti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sami</w:t>
      </w:r>
      <w:proofErr w:type="spellEnd"/>
      <w:r>
        <w:rPr>
          <w:rFonts w:ascii="Arial" w:hAnsi="Arial"/>
          <w:lang w:val="de-DE"/>
        </w:rPr>
        <w:t>.</w:t>
      </w:r>
    </w:p>
    <w:p w:rsidR="00357574" w:rsidRDefault="00357574" w:rsidP="00357574">
      <w:pPr>
        <w:pStyle w:val="NormalWeb1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rPr>
          <w:rFonts w:ascii="Arial" w:hAnsi="Arial"/>
          <w:lang w:val="de-DE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1.14. Obseg vpisa v program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 xml:space="preserve">Trideset študentov rednega študija.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Trideset študentov izrednega študija ob izkazanih kadrovskih potrebah in sočasnih materialnih možnostih za kvalitetno izvedbo programa (predavalnice, učitelji).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</w:rPr>
      </w:pPr>
    </w:p>
    <w:p w:rsidR="00357574" w:rsidRDefault="00357574" w:rsidP="00357574">
      <w:pPr>
        <w:pStyle w:val="NormalWeb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 xml:space="preserve">1.15. Možnosti zaposlitve diplomantov </w:t>
      </w:r>
    </w:p>
    <w:p w:rsidR="00357574" w:rsidRDefault="00357574" w:rsidP="00357574">
      <w:pPr>
        <w:pStyle w:val="NormalWeb1"/>
        <w:jc w:val="both"/>
        <w:rPr>
          <w:rFonts w:ascii="Arial" w:hAnsi="Arial"/>
        </w:rPr>
      </w:pPr>
      <w:r>
        <w:rPr>
          <w:rFonts w:ascii="Arial" w:hAnsi="Arial"/>
        </w:rPr>
        <w:t>Potrebe po diplomiranih babicah/</w:t>
      </w:r>
      <w:proofErr w:type="spellStart"/>
      <w:r>
        <w:rPr>
          <w:rFonts w:ascii="Arial" w:hAnsi="Arial"/>
        </w:rPr>
        <w:t>babičarjih</w:t>
      </w:r>
      <w:proofErr w:type="spellEnd"/>
      <w:r>
        <w:rPr>
          <w:rFonts w:ascii="Arial" w:hAnsi="Arial"/>
        </w:rPr>
        <w:t xml:space="preserve"> so že desetletje izredno velike. Možnosti zaposlovanja so številne, saj se lahko zaposlujejo v:</w:t>
      </w:r>
    </w:p>
    <w:p w:rsidR="00357574" w:rsidRDefault="00357574" w:rsidP="00357574">
      <w:pPr>
        <w:pStyle w:val="NormalWeb1"/>
        <w:numPr>
          <w:ilvl w:val="0"/>
          <w:numId w:val="3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bolnišnicah</w:t>
      </w:r>
    </w:p>
    <w:p w:rsidR="00357574" w:rsidRDefault="00357574" w:rsidP="00357574">
      <w:pPr>
        <w:pStyle w:val="NormalWeb1"/>
        <w:numPr>
          <w:ilvl w:val="0"/>
          <w:numId w:val="3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zdravstvenih domovih - dispanzerjih, posvetovalnicah, splošnih in </w:t>
      </w:r>
      <w:r>
        <w:rPr>
          <w:rFonts w:ascii="Arial" w:hAnsi="Arial"/>
        </w:rPr>
        <w:tab/>
        <w:t xml:space="preserve"> </w:t>
      </w:r>
    </w:p>
    <w:p w:rsidR="00357574" w:rsidRDefault="00357574" w:rsidP="00357574">
      <w:pPr>
        <w:pStyle w:val="NormalWeb1"/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specialističnih ambulantah, patronažni dejavnosti...</w:t>
      </w:r>
    </w:p>
    <w:p w:rsidR="00357574" w:rsidRDefault="00357574" w:rsidP="00357574">
      <w:pPr>
        <w:pStyle w:val="NormalWeb1"/>
        <w:numPr>
          <w:ilvl w:val="0"/>
          <w:numId w:val="4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zavodih za zdravstveno varstvo</w:t>
      </w:r>
    </w:p>
    <w:p w:rsidR="00357574" w:rsidRDefault="00357574" w:rsidP="00357574">
      <w:pPr>
        <w:pStyle w:val="NormalWeb1"/>
        <w:numPr>
          <w:ilvl w:val="0"/>
          <w:numId w:val="4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zdraviliščih</w:t>
      </w:r>
    </w:p>
    <w:p w:rsidR="00357574" w:rsidRDefault="00357574" w:rsidP="00357574">
      <w:pPr>
        <w:pStyle w:val="NormalWeb1"/>
        <w:numPr>
          <w:ilvl w:val="0"/>
          <w:numId w:val="4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reševalnih službah</w:t>
      </w:r>
    </w:p>
    <w:p w:rsidR="00357574" w:rsidRDefault="00357574" w:rsidP="00357574">
      <w:pPr>
        <w:pStyle w:val="NormalWeb1"/>
        <w:numPr>
          <w:ilvl w:val="0"/>
          <w:numId w:val="4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humanitarnih organizacijah</w:t>
      </w:r>
    </w:p>
    <w:p w:rsidR="00357574" w:rsidRDefault="00357574" w:rsidP="00357574">
      <w:pPr>
        <w:pStyle w:val="NormalWeb1"/>
        <w:numPr>
          <w:ilvl w:val="0"/>
          <w:numId w:val="4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zasebni zdravstveni praksi</w:t>
      </w:r>
    </w:p>
    <w:p w:rsidR="00357574" w:rsidRDefault="00357574" w:rsidP="00357574">
      <w:pPr>
        <w:pStyle w:val="NormalWeb1"/>
        <w:numPr>
          <w:ilvl w:val="0"/>
          <w:numId w:val="4"/>
        </w:numPr>
        <w:tabs>
          <w:tab w:val="left" w:pos="720"/>
        </w:tabs>
        <w:spacing w:before="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šolah za starše.</w:t>
      </w:r>
    </w:p>
    <w:p w:rsidR="00357574" w:rsidRDefault="00357574"/>
    <w:p w:rsidR="00357574" w:rsidRDefault="00357574"/>
    <w:p w:rsidR="00357574" w:rsidRPr="00022921" w:rsidRDefault="00357574" w:rsidP="001B34C7">
      <w:pPr>
        <w:pStyle w:val="Odstavekseznama"/>
        <w:numPr>
          <w:ilvl w:val="0"/>
          <w:numId w:val="7"/>
        </w:numPr>
        <w:spacing w:before="100" w:after="100"/>
        <w:jc w:val="center"/>
        <w:rPr>
          <w:rFonts w:ascii="Arial" w:hAnsi="Arial"/>
          <w:b/>
          <w:color w:val="FF0000"/>
        </w:rPr>
      </w:pPr>
      <w:r w:rsidRPr="00022921">
        <w:rPr>
          <w:rFonts w:ascii="Arial" w:hAnsi="Arial"/>
          <w:b/>
          <w:color w:val="FF0000"/>
        </w:rPr>
        <w:t>PODATKI O PREDMETNIKU</w:t>
      </w:r>
    </w:p>
    <w:p w:rsidR="00022921" w:rsidRPr="00022921" w:rsidRDefault="00022921" w:rsidP="00022921">
      <w:pPr>
        <w:pStyle w:val="Odstavekseznama"/>
        <w:spacing w:before="100" w:after="100"/>
        <w:ind w:left="760"/>
        <w:rPr>
          <w:rFonts w:ascii="Arial" w:hAnsi="Arial"/>
          <w:b/>
          <w:color w:val="FF0000"/>
        </w:rPr>
      </w:pP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V predmetniku so navedeni moduli s predmeti, s področji prakse in druge sestavine učnega načrta ter obseg in oblike </w:t>
      </w:r>
      <w:proofErr w:type="spellStart"/>
      <w:r w:rsidRPr="00357574">
        <w:rPr>
          <w:rFonts w:ascii="Arial" w:hAnsi="Arial"/>
        </w:rPr>
        <w:t>vzgojnoizobraževalnega</w:t>
      </w:r>
      <w:proofErr w:type="spellEnd"/>
      <w:r w:rsidRPr="00357574">
        <w:rPr>
          <w:rFonts w:ascii="Arial" w:hAnsi="Arial"/>
        </w:rPr>
        <w:t xml:space="preserve"> dela pri posameznih predmetih. Iz predmetnika je razvidna letna obremenitev študentov z organiziranim delom, pri čemer je upoštevan z zakonom določen obseg - 6x375 ur (predavanja, seminarji, vaje) + praksa.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Za izredni študij sprejme senat šole izvedbeni predmetnik, za vsako študijsko generacijo posebej. Izvedbenega predmetnika ne pojmujemo kot alternativni predmetnik, temveč kot možnost, da se izvedba predmetnika uskladi s pogoji šole ter delovnimi in življenjskimi izkušnjami študentov. S tem je zagotovljena kvaliteta </w:t>
      </w:r>
      <w:proofErr w:type="spellStart"/>
      <w:r w:rsidRPr="00357574">
        <w:rPr>
          <w:rFonts w:ascii="Arial" w:hAnsi="Arial"/>
        </w:rPr>
        <w:t>vzgojnoizobraževalnega</w:t>
      </w:r>
      <w:proofErr w:type="spellEnd"/>
      <w:r w:rsidRPr="00357574">
        <w:rPr>
          <w:rFonts w:ascii="Arial" w:hAnsi="Arial"/>
        </w:rPr>
        <w:t xml:space="preserve"> dela in so dani optimalni pogoji za uspešno delo študentov in delavcev, ki program izvajajo.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  <w:i/>
        </w:rPr>
      </w:pPr>
      <w:r w:rsidRPr="00357574">
        <w:rPr>
          <w:rFonts w:ascii="Arial" w:hAnsi="Arial"/>
          <w:b/>
          <w:i/>
        </w:rPr>
        <w:t xml:space="preserve">2.1. Skupno število predmetov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Študijski program obsega 16 modulov, skupno število predmetov je 45.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V prvem letniku študijski program daje prednost bazičnim predmetom (Anatomija, Fiziologija, Patologija, Mikrobiologija s parazitologijo in drugi), ki so podlaga za razumevanje strokovnih predmetov.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Študijski program poudarja predmete: Babiško nego I, II in III, Porodništvo, Ginekologijo in </w:t>
      </w:r>
      <w:proofErr w:type="spellStart"/>
      <w:r w:rsidRPr="00357574">
        <w:rPr>
          <w:rFonts w:ascii="Arial" w:hAnsi="Arial"/>
        </w:rPr>
        <w:t>Neonatologijo</w:t>
      </w:r>
      <w:proofErr w:type="spellEnd"/>
      <w:r w:rsidRPr="00357574">
        <w:rPr>
          <w:rFonts w:ascii="Arial" w:hAnsi="Arial"/>
        </w:rPr>
        <w:t>, Promocijo zdravja in vzgojo za zdravje s spolno vzgojo, Babiško nego otroka matere in družine, Patronažno in dispanzersko varstvo in druge.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Glede na potrebe babištva sta v študijski program vključena predmeta </w:t>
      </w:r>
      <w:proofErr w:type="spellStart"/>
      <w:r w:rsidRPr="00357574">
        <w:rPr>
          <w:rFonts w:ascii="Arial" w:hAnsi="Arial"/>
        </w:rPr>
        <w:t>Supervizija</w:t>
      </w:r>
      <w:proofErr w:type="spellEnd"/>
      <w:r w:rsidRPr="00357574">
        <w:rPr>
          <w:rFonts w:ascii="Arial" w:hAnsi="Arial"/>
        </w:rPr>
        <w:t xml:space="preserve"> in Uvod v osebnostni razvoj.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Predmet Športna vzgoja ni vključen v skupno število predmetov in ni upoštevan v končnem seštevku celotnega študijskega programa.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Tudi diferencialni program za udeležence izobraževanja, ki niso zaključili srednje zdravstvene šole in obsega 80 ur vaj v simuliranih pogojih bolnišnice (kabinet), ni vključen v seštevek ur.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 </w:t>
      </w:r>
      <w:bookmarkStart w:id="0" w:name="_GoBack"/>
      <w:bookmarkEnd w:id="0"/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  <w:i/>
        </w:rPr>
      </w:pPr>
      <w:r w:rsidRPr="00357574">
        <w:rPr>
          <w:rFonts w:ascii="Arial" w:hAnsi="Arial"/>
          <w:b/>
          <w:i/>
        </w:rPr>
        <w:lastRenderedPageBreak/>
        <w:t xml:space="preserve">2.2 Predmetnik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TABELA 1, 2 in 3: </w:t>
      </w:r>
      <w:proofErr w:type="spellStart"/>
      <w:r w:rsidRPr="00357574">
        <w:rPr>
          <w:rFonts w:ascii="Arial" w:hAnsi="Arial"/>
        </w:rPr>
        <w:t>Modulnik</w:t>
      </w:r>
      <w:proofErr w:type="spellEnd"/>
      <w:r w:rsidRPr="00357574">
        <w:rPr>
          <w:rFonts w:ascii="Arial" w:hAnsi="Arial"/>
        </w:rPr>
        <w:t xml:space="preserve"> - predmetnik študijskega programa babištva: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letno in celotno število ur in vključenost predmetov v strukturo programa.</w:t>
      </w:r>
    </w:p>
    <w:p w:rsidR="00357574" w:rsidRPr="00357574" w:rsidRDefault="00357574" w:rsidP="00357574">
      <w:pPr>
        <w:jc w:val="center"/>
        <w:rPr>
          <w:b/>
          <w:sz w:val="30"/>
        </w:rPr>
      </w:pPr>
    </w:p>
    <w:p w:rsidR="00357574" w:rsidRPr="00357574" w:rsidRDefault="00357574" w:rsidP="00357574">
      <w:pPr>
        <w:jc w:val="center"/>
        <w:rPr>
          <w:b/>
          <w:sz w:val="30"/>
        </w:rPr>
      </w:pPr>
      <w:r w:rsidRPr="00357574">
        <w:rPr>
          <w:b/>
          <w:sz w:val="30"/>
        </w:rPr>
        <w:t>MODULNIK – PREDMETNIK 1. LETNIK</w:t>
      </w:r>
      <w:r w:rsidRPr="00357574">
        <w:rPr>
          <w:sz w:val="32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562"/>
        <w:gridCol w:w="563"/>
        <w:gridCol w:w="563"/>
        <w:gridCol w:w="563"/>
        <w:gridCol w:w="563"/>
        <w:gridCol w:w="563"/>
        <w:gridCol w:w="563"/>
        <w:gridCol w:w="563"/>
        <w:gridCol w:w="540"/>
        <w:gridCol w:w="540"/>
      </w:tblGrid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spacing w:line="181" w:lineRule="atLeast"/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MODUL</w:t>
            </w:r>
          </w:p>
        </w:tc>
        <w:tc>
          <w:tcPr>
            <w:tcW w:w="45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spacing w:line="181" w:lineRule="atLeast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SEMESTER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textDirection w:val="btLr"/>
          </w:tcPr>
          <w:p w:rsidR="00357574" w:rsidRPr="00357574" w:rsidRDefault="00357574" w:rsidP="00357574">
            <w:pPr>
              <w:spacing w:line="181" w:lineRule="atLeast"/>
              <w:ind w:right="113"/>
              <w:jc w:val="both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Skupaj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textDirection w:val="btLr"/>
          </w:tcPr>
          <w:p w:rsidR="00357574" w:rsidRPr="00357574" w:rsidRDefault="00357574" w:rsidP="00357574">
            <w:pPr>
              <w:spacing w:line="181" w:lineRule="atLeast"/>
              <w:ind w:right="113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Krediti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sz w:val="20"/>
              </w:rPr>
              <w:t>Predmet, področje vaj</w:t>
            </w:r>
            <w:r w:rsidRPr="00357574">
              <w:rPr>
                <w:i/>
                <w:sz w:val="20"/>
              </w:rPr>
              <w:t xml:space="preserve"> </w:t>
            </w:r>
            <w:r w:rsidRPr="00357574">
              <w:rPr>
                <w:sz w:val="20"/>
              </w:rPr>
              <w:t>in praksa</w:t>
            </w:r>
          </w:p>
        </w:tc>
        <w:tc>
          <w:tcPr>
            <w:tcW w:w="22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ZIMSKI</w:t>
            </w:r>
          </w:p>
        </w:tc>
        <w:tc>
          <w:tcPr>
            <w:tcW w:w="2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LETNI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/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357574" w:rsidRPr="00357574" w:rsidRDefault="00357574" w:rsidP="00357574"/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>
            <w:pPr>
              <w:ind w:right="-131"/>
              <w:rPr>
                <w:sz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127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pr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39" w:right="-200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pr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/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357574" w:rsidRPr="00357574" w:rsidRDefault="00357574" w:rsidP="00357574"/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right="-131"/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1545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60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BABIŠTVO IN BABIŠKA PRAKSA 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108"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color w:val="FF0000"/>
                <w:sz w:val="20"/>
              </w:rPr>
            </w:pPr>
            <w:r w:rsidRPr="00357574">
              <w:rPr>
                <w:color w:val="FF0000"/>
                <w:sz w:val="20"/>
              </w:rPr>
              <w:t> 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 xml:space="preserve">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18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left="-108"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left="-108"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U</w:t>
            </w:r>
            <w:r w:rsidRPr="00357574">
              <w:rPr>
                <w:sz w:val="20"/>
              </w:rPr>
              <w:t>vod v klinične vaje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A</w:t>
            </w:r>
            <w:r w:rsidRPr="00357574">
              <w:rPr>
                <w:sz w:val="20"/>
              </w:rPr>
              <w:t>mbulantna dejavnost za fiziološko nosečnost *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trokovni praktikum I *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BIOLOŠKE ZNANOSTI V BABIŠTVU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14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A</w:t>
            </w:r>
            <w:r w:rsidRPr="00357574">
              <w:rPr>
                <w:sz w:val="20"/>
              </w:rPr>
              <w:t>natomija z embriologijo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F</w:t>
            </w:r>
            <w:r w:rsidRPr="00357574">
              <w:rPr>
                <w:sz w:val="20"/>
              </w:rPr>
              <w:t>iziologija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atologija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K</w:t>
            </w:r>
            <w:r w:rsidRPr="00357574">
              <w:rPr>
                <w:sz w:val="20"/>
              </w:rPr>
              <w:t xml:space="preserve">linična </w:t>
            </w:r>
            <w:proofErr w:type="spellStart"/>
            <w:r w:rsidRPr="00357574">
              <w:rPr>
                <w:sz w:val="20"/>
              </w:rPr>
              <w:t>propedevtika</w:t>
            </w:r>
            <w:proofErr w:type="spellEnd"/>
            <w:r w:rsidRPr="00357574">
              <w:rPr>
                <w:sz w:val="20"/>
              </w:rPr>
              <w:t xml:space="preserve"> in diagnostični laboratorij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M</w:t>
            </w:r>
            <w:r w:rsidRPr="00357574">
              <w:rPr>
                <w:sz w:val="20"/>
              </w:rPr>
              <w:t>ikrobiologija s parazitologijo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iofizika z ergonomijo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iokemija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F</w:t>
            </w:r>
            <w:r w:rsidRPr="00357574">
              <w:rPr>
                <w:sz w:val="20"/>
              </w:rPr>
              <w:t>armakologija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R</w:t>
            </w:r>
            <w:r w:rsidRPr="00357574">
              <w:rPr>
                <w:sz w:val="20"/>
              </w:rPr>
              <w:t xml:space="preserve">adiološke in ostale preiskovalne metode v </w:t>
            </w:r>
          </w:p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sz w:val="20"/>
              </w:rPr>
              <w:t>babištvu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ZDRAVJE ŽENSK IN OTROK 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16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proofErr w:type="spellStart"/>
            <w:r w:rsidRPr="00357574">
              <w:rPr>
                <w:b/>
                <w:sz w:val="20"/>
              </w:rPr>
              <w:t>N</w:t>
            </w:r>
            <w:r w:rsidRPr="00357574">
              <w:rPr>
                <w:sz w:val="20"/>
              </w:rPr>
              <w:t>eonatologija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Š</w:t>
            </w:r>
            <w:r w:rsidRPr="00357574">
              <w:rPr>
                <w:sz w:val="20"/>
              </w:rPr>
              <w:t>ola za starše I *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orodništvo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 xml:space="preserve">abiška nega porodnic v porodnem bloku I **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G</w:t>
            </w:r>
            <w:r w:rsidRPr="00357574">
              <w:rPr>
                <w:sz w:val="20"/>
              </w:rPr>
              <w:t>inekologija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ginekoloških varovank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RAZISKOVANJE V BABIŠTVU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8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proofErr w:type="spellStart"/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iostatistika</w:t>
            </w:r>
            <w:proofErr w:type="spellEnd"/>
            <w:r w:rsidRPr="00357574">
              <w:rPr>
                <w:sz w:val="20"/>
              </w:rPr>
              <w:t xml:space="preserve"> v babištvu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U</w:t>
            </w:r>
            <w:r w:rsidRPr="00357574">
              <w:rPr>
                <w:sz w:val="20"/>
              </w:rPr>
              <w:t>vod v raziskovalno delo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R</w:t>
            </w:r>
            <w:r w:rsidRPr="00357574">
              <w:rPr>
                <w:sz w:val="20"/>
              </w:rPr>
              <w:t>ačunalništvo in informatika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T</w:t>
            </w:r>
            <w:r w:rsidRPr="00357574">
              <w:rPr>
                <w:sz w:val="20"/>
              </w:rPr>
              <w:t>uj jezik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REFLEKSIJA V BABIŠTVU 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F</w:t>
            </w:r>
            <w:r w:rsidRPr="00357574">
              <w:rPr>
                <w:sz w:val="20"/>
              </w:rPr>
              <w:t>ilozofija v babištvu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rofesionalna etika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</w:tcPr>
          <w:p w:rsidR="00357574" w:rsidRPr="00357574" w:rsidRDefault="00357574" w:rsidP="00357574">
            <w:pPr>
              <w:ind w:right="-131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SPECIALNE POTREBE VAROVANCEV V BABIŠTVU 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 xml:space="preserve">zbrane teme iz interne medicine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31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infekcijskih bolezni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color w:val="FF0000"/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Število ur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275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120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260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310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80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08"/>
              <w:jc w:val="center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320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1545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16"/>
              </w:rPr>
            </w:pPr>
          </w:p>
        </w:tc>
      </w:tr>
    </w:tbl>
    <w:p w:rsidR="00357574" w:rsidRPr="00357574" w:rsidRDefault="00357574" w:rsidP="00357574">
      <w:pPr>
        <w:shd w:val="clear" w:color="auto" w:fill="FFFFFF"/>
        <w:rPr>
          <w:sz w:val="20"/>
        </w:rPr>
      </w:pPr>
    </w:p>
    <w:p w:rsidR="00357574" w:rsidRPr="00357574" w:rsidRDefault="00357574" w:rsidP="00357574">
      <w:pPr>
        <w:shd w:val="clear" w:color="auto" w:fill="FFFFFF"/>
        <w:rPr>
          <w:sz w:val="20"/>
        </w:rPr>
      </w:pPr>
      <w:r w:rsidRPr="00357574">
        <w:rPr>
          <w:sz w:val="20"/>
        </w:rPr>
        <w:t>Športna vzgoja: 60 ur</w:t>
      </w:r>
    </w:p>
    <w:p w:rsidR="00357574" w:rsidRPr="00357574" w:rsidRDefault="00357574" w:rsidP="00357574">
      <w:pPr>
        <w:shd w:val="clear" w:color="auto" w:fill="FFFFFF"/>
        <w:rPr>
          <w:sz w:val="20"/>
        </w:rPr>
      </w:pPr>
      <w:r w:rsidRPr="00357574">
        <w:rPr>
          <w:sz w:val="20"/>
        </w:rPr>
        <w:t>Diferencialni program iz Osnov zdravstvene in babiške nege, ki niso osvojili tega znanja v srednješolskem izobraževanju</w:t>
      </w:r>
    </w:p>
    <w:p w:rsidR="00357574" w:rsidRPr="00357574" w:rsidRDefault="00357574" w:rsidP="00357574">
      <w:pPr>
        <w:shd w:val="clear" w:color="auto" w:fill="FFFFFF"/>
        <w:rPr>
          <w:sz w:val="20"/>
        </w:rPr>
      </w:pPr>
      <w:r w:rsidRPr="00357574">
        <w:rPr>
          <w:sz w:val="20"/>
        </w:rPr>
        <w:t>Okrajšave:</w:t>
      </w:r>
      <w:r w:rsidRPr="00357574">
        <w:rPr>
          <w:b/>
          <w:sz w:val="20"/>
        </w:rPr>
        <w:t xml:space="preserve"> p</w:t>
      </w:r>
      <w:r w:rsidRPr="00357574">
        <w:rPr>
          <w:sz w:val="20"/>
        </w:rPr>
        <w:t xml:space="preserve"> – predmet; </w:t>
      </w:r>
      <w:r w:rsidRPr="00357574">
        <w:rPr>
          <w:b/>
          <w:sz w:val="20"/>
        </w:rPr>
        <w:t>sem</w:t>
      </w:r>
      <w:r w:rsidRPr="00357574">
        <w:rPr>
          <w:sz w:val="20"/>
        </w:rPr>
        <w:t xml:space="preserve"> – seminar; </w:t>
      </w:r>
      <w:r w:rsidRPr="00357574">
        <w:rPr>
          <w:b/>
          <w:sz w:val="20"/>
        </w:rPr>
        <w:t>v</w:t>
      </w:r>
      <w:r w:rsidRPr="00357574">
        <w:rPr>
          <w:sz w:val="20"/>
        </w:rPr>
        <w:t xml:space="preserve"> – vaje; </w:t>
      </w:r>
      <w:r w:rsidRPr="00357574">
        <w:rPr>
          <w:b/>
          <w:color w:val="FF0000"/>
          <w:sz w:val="20"/>
        </w:rPr>
        <w:t>pr</w:t>
      </w:r>
      <w:r w:rsidRPr="00357574">
        <w:rPr>
          <w:sz w:val="20"/>
        </w:rPr>
        <w:t xml:space="preserve"> – praksa</w:t>
      </w:r>
    </w:p>
    <w:p w:rsidR="00357574" w:rsidRPr="00357574" w:rsidRDefault="00357574" w:rsidP="00357574">
      <w:pPr>
        <w:shd w:val="clear" w:color="auto" w:fill="FFFFFF"/>
        <w:rPr>
          <w:sz w:val="20"/>
          <w:shd w:val="clear" w:color="auto" w:fill="FFFFFF"/>
        </w:rPr>
      </w:pPr>
    </w:p>
    <w:p w:rsidR="00357574" w:rsidRPr="00357574" w:rsidRDefault="00357574" w:rsidP="00357574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357574">
        <w:rPr>
          <w:rFonts w:ascii="Arial" w:hAnsi="Arial" w:cs="Arial"/>
          <w:b/>
          <w:bCs/>
          <w:iCs/>
          <w:sz w:val="28"/>
          <w:szCs w:val="28"/>
        </w:rPr>
        <w:lastRenderedPageBreak/>
        <w:t>MODULNIK - PREDMETNIK 2. LETNIK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"/>
        <w:gridCol w:w="623"/>
        <w:gridCol w:w="623"/>
        <w:gridCol w:w="624"/>
        <w:gridCol w:w="623"/>
        <w:gridCol w:w="623"/>
        <w:gridCol w:w="623"/>
        <w:gridCol w:w="624"/>
        <w:gridCol w:w="540"/>
        <w:gridCol w:w="540"/>
      </w:tblGrid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7574" w:rsidRPr="00357574" w:rsidRDefault="00357574" w:rsidP="00357574">
            <w:pPr>
              <w:spacing w:line="181" w:lineRule="atLeas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MODUL</w:t>
            </w:r>
          </w:p>
        </w:tc>
        <w:tc>
          <w:tcPr>
            <w:tcW w:w="49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spacing w:line="181" w:lineRule="atLeast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SEMESTER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textDirection w:val="btLr"/>
          </w:tcPr>
          <w:p w:rsidR="00357574" w:rsidRPr="00357574" w:rsidRDefault="00357574" w:rsidP="00357574">
            <w:pPr>
              <w:spacing w:line="181" w:lineRule="atLeast"/>
              <w:ind w:right="113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Skupaj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textDirection w:val="btLr"/>
          </w:tcPr>
          <w:p w:rsidR="00357574" w:rsidRPr="00357574" w:rsidRDefault="00357574" w:rsidP="00357574">
            <w:pPr>
              <w:spacing w:line="181" w:lineRule="atLeast"/>
              <w:ind w:right="113"/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Krediti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Predmet, področje vaj</w:t>
            </w:r>
            <w:r w:rsidRPr="00357574">
              <w:rPr>
                <w:i/>
                <w:sz w:val="20"/>
              </w:rPr>
              <w:t xml:space="preserve"> </w:t>
            </w:r>
            <w:r w:rsidRPr="00357574">
              <w:rPr>
                <w:sz w:val="20"/>
              </w:rPr>
              <w:t>in praksa</w:t>
            </w:r>
          </w:p>
        </w:tc>
        <w:tc>
          <w:tcPr>
            <w:tcW w:w="2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ZIMSKI</w:t>
            </w:r>
          </w:p>
        </w:tc>
        <w:tc>
          <w:tcPr>
            <w:tcW w:w="2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LETNI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/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357574" w:rsidRPr="00357574" w:rsidRDefault="00357574" w:rsidP="00357574">
            <w:pPr>
              <w:jc w:val="right"/>
              <w:rPr>
                <w:b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57574" w:rsidRPr="00357574" w:rsidRDefault="00357574" w:rsidP="00357574">
            <w:pPr>
              <w:rPr>
                <w:sz w:val="3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12" w:right="-173" w:hanging="15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pr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165" w:right="-200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pr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/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357574" w:rsidRPr="00357574" w:rsidRDefault="00357574" w:rsidP="00357574">
            <w:pPr>
              <w:jc w:val="right"/>
              <w:rPr>
                <w:b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574" w:rsidRPr="00357574" w:rsidRDefault="00357574" w:rsidP="00357574"/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1595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60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BABIŠTVO IN BABIŠKA</w:t>
            </w:r>
          </w:p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PRAKSA II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sz w:val="3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9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II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trokovni praktikum II ***  +  ++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REFLEKSIJA V BABIŠTVU II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proofErr w:type="spellStart"/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upervizija</w:t>
            </w:r>
            <w:proofErr w:type="spellEnd"/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U</w:t>
            </w:r>
            <w:r w:rsidRPr="00357574">
              <w:rPr>
                <w:sz w:val="20"/>
              </w:rPr>
              <w:t>vod v osebnostni razvoj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 xml:space="preserve">SPECIALNE POTREBE </w:t>
            </w:r>
          </w:p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VAROVANCEV V BABIŠTVU II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nevrologije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dermatovenerologije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ZDRAVJE ŽENSK IN OTROK II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42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ediatrija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 xml:space="preserve">abiška nega  otroka po kirurškem </w:t>
            </w:r>
          </w:p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posegu  ×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N</w:t>
            </w:r>
            <w:r w:rsidRPr="00357574">
              <w:rPr>
                <w:sz w:val="20"/>
              </w:rPr>
              <w:t>ačrtovanje družine, spremljanje</w:t>
            </w:r>
          </w:p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 xml:space="preserve">nosečnosti, vodenje poroda in  </w:t>
            </w:r>
          </w:p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poporodnega obdobja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porodnic v porodnem bloku II  **  +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A</w:t>
            </w:r>
            <w:r w:rsidRPr="00357574">
              <w:rPr>
                <w:sz w:val="20"/>
              </w:rPr>
              <w:t>mbulantna dejavnost za  patološko nosečnost  +++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žensk z rizično nosečnostjo  +++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otročnic in novorojenčkov  °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V</w:t>
            </w:r>
            <w:r w:rsidRPr="00357574">
              <w:rPr>
                <w:sz w:val="20"/>
              </w:rPr>
              <w:t>arovanje reproduktivnega zdravja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varovank s patološkimi stanji v ginekologiji °°°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otroka, matere in družine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40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novorojenčkov s posebnimi potrebami  °°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 w:firstLine="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7574" w:rsidRPr="00357574" w:rsidRDefault="00357574" w:rsidP="0035757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 xml:space="preserve">PROMOCIJA ZDRAVJA V BABIŠTVU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romocija zdravja in vzgoja za zdravje, spolna vzgoja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ocialna medicina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Število ur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245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640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90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75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400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1595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</w:p>
        </w:tc>
      </w:tr>
    </w:tbl>
    <w:p w:rsidR="00357574" w:rsidRPr="00357574" w:rsidRDefault="00357574" w:rsidP="00357574"/>
    <w:p w:rsidR="00357574" w:rsidRPr="00357574" w:rsidRDefault="00357574" w:rsidP="00357574">
      <w:pPr>
        <w:shd w:val="clear" w:color="auto" w:fill="FFFFFF"/>
        <w:rPr>
          <w:sz w:val="20"/>
          <w:shd w:val="clear" w:color="auto" w:fill="FFFFFF"/>
        </w:rPr>
      </w:pPr>
      <w:r w:rsidRPr="00357574">
        <w:rPr>
          <w:sz w:val="20"/>
        </w:rPr>
        <w:t>Okrajšave:</w:t>
      </w:r>
      <w:r w:rsidRPr="00357574">
        <w:rPr>
          <w:b/>
          <w:sz w:val="20"/>
        </w:rPr>
        <w:t xml:space="preserve"> p</w:t>
      </w:r>
      <w:r w:rsidRPr="00357574">
        <w:rPr>
          <w:sz w:val="20"/>
        </w:rPr>
        <w:t xml:space="preserve"> – predmet; </w:t>
      </w:r>
      <w:r w:rsidRPr="00357574">
        <w:rPr>
          <w:b/>
          <w:sz w:val="20"/>
        </w:rPr>
        <w:t>sem</w:t>
      </w:r>
      <w:r w:rsidRPr="00357574">
        <w:rPr>
          <w:sz w:val="20"/>
        </w:rPr>
        <w:t xml:space="preserve"> – seminar; </w:t>
      </w:r>
      <w:r w:rsidRPr="00357574">
        <w:rPr>
          <w:b/>
          <w:sz w:val="20"/>
        </w:rPr>
        <w:t>v</w:t>
      </w:r>
      <w:r w:rsidRPr="00357574">
        <w:rPr>
          <w:sz w:val="20"/>
        </w:rPr>
        <w:t xml:space="preserve"> – vaje; </w:t>
      </w:r>
      <w:r w:rsidRPr="00357574">
        <w:rPr>
          <w:b/>
          <w:color w:val="FF0000"/>
          <w:sz w:val="20"/>
        </w:rPr>
        <w:t>pr</w:t>
      </w:r>
      <w:r w:rsidRPr="00357574">
        <w:rPr>
          <w:sz w:val="20"/>
        </w:rPr>
        <w:t xml:space="preserve"> - praksa</w:t>
      </w:r>
    </w:p>
    <w:p w:rsidR="00357574" w:rsidRPr="00357574" w:rsidRDefault="00357574" w:rsidP="00357574"/>
    <w:p w:rsidR="00357574" w:rsidRPr="00357574" w:rsidRDefault="00357574" w:rsidP="00357574">
      <w:pPr>
        <w:jc w:val="center"/>
        <w:rPr>
          <w:b/>
          <w:sz w:val="30"/>
        </w:rPr>
      </w:pPr>
      <w:r w:rsidRPr="00357574">
        <w:br w:type="page"/>
      </w:r>
      <w:r w:rsidRPr="00357574">
        <w:rPr>
          <w:b/>
          <w:sz w:val="30"/>
        </w:rPr>
        <w:lastRenderedPageBreak/>
        <w:t>MODULNIK - PREDMETNIK 3. LETNIK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"/>
        <w:gridCol w:w="623"/>
        <w:gridCol w:w="623"/>
        <w:gridCol w:w="624"/>
        <w:gridCol w:w="623"/>
        <w:gridCol w:w="623"/>
        <w:gridCol w:w="623"/>
        <w:gridCol w:w="624"/>
        <w:gridCol w:w="540"/>
        <w:gridCol w:w="540"/>
      </w:tblGrid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</w:tcPr>
          <w:p w:rsidR="00357574" w:rsidRPr="00357574" w:rsidRDefault="00357574" w:rsidP="00357574">
            <w:pPr>
              <w:spacing w:line="181" w:lineRule="atLeast"/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MODUL</w:t>
            </w:r>
          </w:p>
        </w:tc>
        <w:tc>
          <w:tcPr>
            <w:tcW w:w="49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spacing w:line="181" w:lineRule="atLeast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SEMESTER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textDirection w:val="btLr"/>
          </w:tcPr>
          <w:p w:rsidR="00357574" w:rsidRPr="00357574" w:rsidRDefault="00357574" w:rsidP="00357574">
            <w:pPr>
              <w:spacing w:line="181" w:lineRule="atLeast"/>
              <w:ind w:right="113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Skupaj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textDirection w:val="btLr"/>
          </w:tcPr>
          <w:p w:rsidR="00357574" w:rsidRPr="00357574" w:rsidRDefault="00357574" w:rsidP="00357574">
            <w:pPr>
              <w:spacing w:line="181" w:lineRule="atLeast"/>
              <w:ind w:right="113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Krediti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sz w:val="20"/>
              </w:rPr>
              <w:t>Predmet, področje vaj</w:t>
            </w:r>
            <w:r w:rsidRPr="00357574">
              <w:rPr>
                <w:i/>
                <w:sz w:val="20"/>
              </w:rPr>
              <w:t xml:space="preserve"> </w:t>
            </w:r>
            <w:r w:rsidRPr="00357574">
              <w:rPr>
                <w:sz w:val="20"/>
              </w:rPr>
              <w:t>in praksa</w:t>
            </w:r>
          </w:p>
        </w:tc>
        <w:tc>
          <w:tcPr>
            <w:tcW w:w="2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ZIMSKI</w:t>
            </w:r>
          </w:p>
        </w:tc>
        <w:tc>
          <w:tcPr>
            <w:tcW w:w="2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LETNI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/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357574" w:rsidRPr="00357574" w:rsidRDefault="00357574" w:rsidP="00357574"/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57574" w:rsidRPr="00357574" w:rsidRDefault="00357574" w:rsidP="00357574">
            <w:pPr>
              <w:ind w:right="-114"/>
              <w:rPr>
                <w:sz w:val="3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12" w:right="-173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pr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left="-38" w:right="-231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sem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pr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57574" w:rsidRPr="00357574" w:rsidRDefault="00357574" w:rsidP="00357574"/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357574" w:rsidRPr="00357574" w:rsidRDefault="00357574" w:rsidP="00357574"/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ind w:right="-114"/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1460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60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</w:tcPr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BABIŠTVO IN BAB. PRAKSA III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rPr>
                <w:sz w:val="20"/>
              </w:rPr>
            </w:pPr>
            <w:r w:rsidRPr="0035757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24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III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eksologija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B</w:t>
            </w:r>
            <w:r w:rsidRPr="00357574">
              <w:rPr>
                <w:sz w:val="20"/>
              </w:rPr>
              <w:t>abiška nega porodnic v porodnem bloku III ***  +  ++  °°°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Š</w:t>
            </w:r>
            <w:r w:rsidRPr="00357574">
              <w:rPr>
                <w:sz w:val="20"/>
              </w:rPr>
              <w:t>ola za starše II *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nteresno področje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trokovni praktikum III  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</w:tcPr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 xml:space="preserve">SPECIALNE POTREBE  </w:t>
            </w:r>
          </w:p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VAROVANCEV V BABIŠTVU III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kirurgije ++  ×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travmatologije in prva pomoč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otorinolaringologije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okulistike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zbrane teme iz ortopedije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Z</w:t>
            </w:r>
            <w:r w:rsidRPr="00357574">
              <w:rPr>
                <w:sz w:val="20"/>
              </w:rPr>
              <w:t>dravstveno varstvo v izjemnih razmerah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</w:tcPr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VAROVANJE ZDRAVJA V   BABIŠTVU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H</w:t>
            </w:r>
            <w:r w:rsidRPr="00357574">
              <w:rPr>
                <w:sz w:val="20"/>
              </w:rPr>
              <w:t>igiena z osnovami ekologije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rehrana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</w:tcPr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ORGANIZACIJA IN ZAKONSKA PODLAGA V BABIŠTVU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19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O</w:t>
            </w:r>
            <w:r w:rsidRPr="00357574">
              <w:rPr>
                <w:sz w:val="20"/>
              </w:rPr>
              <w:t>rganizacija v babištvu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U</w:t>
            </w:r>
            <w:r w:rsidRPr="00357574">
              <w:rPr>
                <w:sz w:val="20"/>
              </w:rPr>
              <w:t>stavna ureditev z zdravstveno,</w:t>
            </w:r>
          </w:p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sz w:val="20"/>
              </w:rPr>
              <w:t xml:space="preserve">socialno in delovno zakonodajo, </w:t>
            </w:r>
          </w:p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sz w:val="20"/>
              </w:rPr>
              <w:t>pravno varstvo matere in otroka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ocialno delo v babištvu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atronažno in dispanzersko varstvo * 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180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right="-108"/>
              <w:jc w:val="center"/>
              <w:rPr>
                <w:sz w:val="20"/>
              </w:rPr>
            </w:pPr>
            <w:r w:rsidRPr="00357574">
              <w:rPr>
                <w:sz w:val="20"/>
              </w:rPr>
              <w:t>390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</w:tcPr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PSIHOSOC. VIDIKI BABIŠTVA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7</w:t>
            </w: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S</w:t>
            </w:r>
            <w:r w:rsidRPr="00357574">
              <w:rPr>
                <w:sz w:val="20"/>
              </w:rPr>
              <w:t>ociologija rodnosti in rojevanja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40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P</w:t>
            </w:r>
            <w:r w:rsidRPr="00357574">
              <w:rPr>
                <w:sz w:val="20"/>
              </w:rPr>
              <w:t>sihologija v babištvu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proofErr w:type="spellStart"/>
            <w:r w:rsidRPr="00357574">
              <w:rPr>
                <w:b/>
                <w:sz w:val="20"/>
              </w:rPr>
              <w:t>I</w:t>
            </w:r>
            <w:r w:rsidRPr="00357574">
              <w:rPr>
                <w:sz w:val="20"/>
              </w:rPr>
              <w:t>ntervizija</w:t>
            </w:r>
            <w:proofErr w:type="spellEnd"/>
            <w:r w:rsidRPr="00357574">
              <w:rPr>
                <w:sz w:val="20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57574" w:rsidRPr="00357574" w:rsidRDefault="00357574" w:rsidP="00357574">
            <w:pPr>
              <w:ind w:right="-114"/>
              <w:rPr>
                <w:sz w:val="20"/>
              </w:rPr>
            </w:pPr>
            <w:r w:rsidRPr="00357574">
              <w:rPr>
                <w:b/>
                <w:sz w:val="20"/>
              </w:rPr>
              <w:t>M</w:t>
            </w:r>
            <w:r w:rsidRPr="00357574">
              <w:rPr>
                <w:sz w:val="20"/>
              </w:rPr>
              <w:t>entalno zdravje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jc w:val="right"/>
              <w:rPr>
                <w:sz w:val="20"/>
              </w:rPr>
            </w:pPr>
            <w:r w:rsidRPr="00357574">
              <w:rPr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357574" w:rsidRPr="00357574" w:rsidRDefault="00357574" w:rsidP="00357574">
            <w:pPr>
              <w:jc w:val="center"/>
              <w:rPr>
                <w:sz w:val="20"/>
              </w:rPr>
            </w:pPr>
          </w:p>
        </w:tc>
      </w:tr>
      <w:tr w:rsidR="00357574" w:rsidRPr="00357574" w:rsidTr="000E74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ind w:right="-114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Število ur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145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50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140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370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225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65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105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574" w:rsidRPr="00357574" w:rsidRDefault="00357574" w:rsidP="00357574">
            <w:pPr>
              <w:jc w:val="right"/>
              <w:rPr>
                <w:b/>
                <w:color w:val="FF0000"/>
                <w:sz w:val="20"/>
              </w:rPr>
            </w:pPr>
            <w:r w:rsidRPr="00357574">
              <w:rPr>
                <w:b/>
                <w:color w:val="FF0000"/>
                <w:sz w:val="20"/>
              </w:rPr>
              <w:t>360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57574" w:rsidRPr="00357574" w:rsidRDefault="00357574" w:rsidP="00357574">
            <w:pPr>
              <w:ind w:left="-108" w:right="-108"/>
              <w:jc w:val="center"/>
              <w:rPr>
                <w:b/>
                <w:sz w:val="20"/>
              </w:rPr>
            </w:pPr>
            <w:r w:rsidRPr="00357574">
              <w:rPr>
                <w:b/>
                <w:sz w:val="20"/>
              </w:rPr>
              <w:t>1460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574" w:rsidRPr="00357574" w:rsidRDefault="00357574" w:rsidP="00357574">
            <w:pPr>
              <w:rPr>
                <w:sz w:val="20"/>
              </w:rPr>
            </w:pPr>
          </w:p>
        </w:tc>
      </w:tr>
    </w:tbl>
    <w:p w:rsidR="00357574" w:rsidRPr="00357574" w:rsidRDefault="00357574" w:rsidP="00357574">
      <w:pPr>
        <w:rPr>
          <w:sz w:val="10"/>
        </w:rPr>
      </w:pPr>
    </w:p>
    <w:p w:rsidR="00357574" w:rsidRPr="00357574" w:rsidRDefault="00357574" w:rsidP="00357574">
      <w:pPr>
        <w:shd w:val="clear" w:color="auto" w:fill="FFFFFF"/>
        <w:rPr>
          <w:sz w:val="20"/>
        </w:rPr>
      </w:pPr>
    </w:p>
    <w:p w:rsidR="00357574" w:rsidRPr="00357574" w:rsidRDefault="00357574" w:rsidP="00357574">
      <w:pPr>
        <w:shd w:val="clear" w:color="auto" w:fill="FFFFFF"/>
        <w:rPr>
          <w:sz w:val="20"/>
          <w:shd w:val="clear" w:color="auto" w:fill="FFFFFF"/>
        </w:rPr>
      </w:pPr>
      <w:r w:rsidRPr="00357574">
        <w:rPr>
          <w:sz w:val="20"/>
        </w:rPr>
        <w:t>Okrajšave:</w:t>
      </w:r>
      <w:r w:rsidRPr="00357574">
        <w:rPr>
          <w:b/>
          <w:sz w:val="20"/>
        </w:rPr>
        <w:t xml:space="preserve"> p</w:t>
      </w:r>
      <w:r w:rsidRPr="00357574">
        <w:rPr>
          <w:sz w:val="20"/>
        </w:rPr>
        <w:t xml:space="preserve"> – predmet; </w:t>
      </w:r>
      <w:r w:rsidRPr="00357574">
        <w:rPr>
          <w:b/>
          <w:sz w:val="20"/>
        </w:rPr>
        <w:t>sem</w:t>
      </w:r>
      <w:r w:rsidRPr="00357574">
        <w:rPr>
          <w:sz w:val="20"/>
        </w:rPr>
        <w:t xml:space="preserve"> – seminar; </w:t>
      </w:r>
      <w:r w:rsidRPr="00357574">
        <w:rPr>
          <w:b/>
          <w:sz w:val="20"/>
        </w:rPr>
        <w:t>v</w:t>
      </w:r>
      <w:r w:rsidRPr="00357574">
        <w:rPr>
          <w:sz w:val="20"/>
        </w:rPr>
        <w:t xml:space="preserve"> – vaje; </w:t>
      </w:r>
      <w:r w:rsidRPr="00357574">
        <w:rPr>
          <w:b/>
          <w:color w:val="FF0000"/>
          <w:sz w:val="20"/>
        </w:rPr>
        <w:t>pr</w:t>
      </w:r>
      <w:r w:rsidRPr="00357574">
        <w:rPr>
          <w:sz w:val="20"/>
        </w:rPr>
        <w:t xml:space="preserve"> - praksa</w:t>
      </w:r>
    </w:p>
    <w:p w:rsidR="00357574" w:rsidRPr="00357574" w:rsidRDefault="00357574" w:rsidP="00357574">
      <w:pPr>
        <w:rPr>
          <w:sz w:val="20"/>
        </w:rPr>
      </w:pP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</w:pPr>
      <w:r w:rsidRPr="00357574">
        <w:rPr>
          <w:b/>
        </w:rPr>
        <w:t>Strokovni praktikum I</w:t>
      </w:r>
      <w:r w:rsidRPr="00357574">
        <w:t xml:space="preserve"> pokriva področje predporodnega zdravstvenega varstva.</w:t>
      </w: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</w:pPr>
      <w:r w:rsidRPr="00357574">
        <w:rPr>
          <w:b/>
        </w:rPr>
        <w:t>Strokovni praktikum II</w:t>
      </w:r>
      <w:r w:rsidRPr="00357574">
        <w:t xml:space="preserve"> pokriva področje </w:t>
      </w:r>
      <w:proofErr w:type="spellStart"/>
      <w:r w:rsidRPr="00357574">
        <w:t>obporodnega</w:t>
      </w:r>
      <w:proofErr w:type="spellEnd"/>
      <w:r w:rsidRPr="00357574">
        <w:t xml:space="preserve"> zdravstvenega varstva.</w:t>
      </w: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</w:pPr>
      <w:r w:rsidRPr="00357574">
        <w:rPr>
          <w:b/>
        </w:rPr>
        <w:t>Strokovni praktikum III</w:t>
      </w:r>
      <w:r w:rsidRPr="00357574">
        <w:t xml:space="preserve"> pokriva področje poporodnega zdravstvenega varstva.</w:t>
      </w: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</w:pP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  <w:rPr>
          <w:b/>
        </w:rPr>
      </w:pPr>
      <w:r w:rsidRPr="00357574">
        <w:rPr>
          <w:b/>
        </w:rPr>
        <w:t>Celoten študijski program obsega  4.600 ur.</w:t>
      </w: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  <w:rPr>
          <w:b/>
        </w:rPr>
      </w:pPr>
      <w:r w:rsidRPr="00357574">
        <w:rPr>
          <w:b/>
        </w:rPr>
        <w:t xml:space="preserve">Predavanj: 1.290 ur </w:t>
      </w:r>
      <w:r w:rsidRPr="00357574">
        <w:rPr>
          <w:b/>
        </w:rPr>
        <w:tab/>
        <w:t>Seminarjev:</w:t>
      </w:r>
      <w:r w:rsidRPr="00357574">
        <w:rPr>
          <w:b/>
        </w:rPr>
        <w:tab/>
        <w:t xml:space="preserve">   265 ur</w:t>
      </w:r>
      <w:r w:rsidRPr="00357574">
        <w:rPr>
          <w:b/>
        </w:rPr>
        <w:tab/>
      </w:r>
      <w:r w:rsidRPr="00357574">
        <w:rPr>
          <w:b/>
        </w:rPr>
        <w:tab/>
      </w:r>
    </w:p>
    <w:p w:rsidR="00357574" w:rsidRPr="00357574" w:rsidRDefault="00357574" w:rsidP="00357574">
      <w:pPr>
        <w:overflowPunct/>
        <w:autoSpaceDE/>
        <w:autoSpaceDN/>
        <w:adjustRightInd/>
        <w:ind w:left="360"/>
        <w:jc w:val="both"/>
        <w:textAlignment w:val="auto"/>
      </w:pPr>
      <w:r w:rsidRPr="00357574">
        <w:rPr>
          <w:b/>
        </w:rPr>
        <w:t>Vaj:</w:t>
      </w:r>
      <w:r w:rsidRPr="00357574">
        <w:rPr>
          <w:b/>
        </w:rPr>
        <w:tab/>
        <w:t xml:space="preserve">     695 ur</w:t>
      </w:r>
      <w:r w:rsidRPr="00357574">
        <w:rPr>
          <w:b/>
        </w:rPr>
        <w:tab/>
        <w:t>Prakse:</w:t>
      </w:r>
      <w:r w:rsidRPr="00357574">
        <w:rPr>
          <w:b/>
        </w:rPr>
        <w:tab/>
        <w:t>2.350 ur</w:t>
      </w:r>
    </w:p>
    <w:p w:rsidR="00357574" w:rsidRPr="00357574" w:rsidRDefault="00357574" w:rsidP="00357574">
      <w:pPr>
        <w:jc w:val="both"/>
        <w:rPr>
          <w:sz w:val="20"/>
        </w:rPr>
      </w:pPr>
    </w:p>
    <w:p w:rsidR="00357574" w:rsidRPr="00357574" w:rsidRDefault="00357574" w:rsidP="00357574">
      <w:pPr>
        <w:rPr>
          <w:sz w:val="20"/>
        </w:rPr>
      </w:pPr>
    </w:p>
    <w:p w:rsidR="00357574" w:rsidRPr="00357574" w:rsidRDefault="00357574" w:rsidP="00357574"/>
    <w:p w:rsidR="00357574" w:rsidRPr="00357574" w:rsidRDefault="00357574" w:rsidP="00357574"/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  <w:b/>
        </w:rPr>
        <w:t>2.2.1. Zahteve sektorske direktive (80/155/EEC; Dodatek B), glede kliničnega in praktičnega usposabljanja, so upoštevane v študijskem programu</w:t>
      </w:r>
      <w:r w:rsidRPr="00357574">
        <w:rPr>
          <w:rFonts w:ascii="Arial" w:hAnsi="Arial" w:cs="Arial"/>
        </w:rPr>
        <w:t>: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 xml:space="preserve">* Svetovanje nosečnicam vključno s 100 </w:t>
      </w:r>
      <w:proofErr w:type="spellStart"/>
      <w:r w:rsidRPr="00357574">
        <w:rPr>
          <w:rFonts w:ascii="Arial" w:hAnsi="Arial" w:cs="Arial"/>
        </w:rPr>
        <w:t>prenatalnimi</w:t>
      </w:r>
      <w:proofErr w:type="spellEnd"/>
      <w:r w:rsidRPr="00357574">
        <w:rPr>
          <w:rFonts w:ascii="Arial" w:hAnsi="Arial" w:cs="Arial"/>
        </w:rPr>
        <w:t xml:space="preserve"> pregledi (1.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>** Babiška nega in vodstvo vsaj 40 žensk med  porodom (2.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 xml:space="preserve">*** Študent mora izvesti vsaj 40 porodov. V kolikor ta številka ni dosežena zaradi   pomanjkanja porodnic, se lahko obvezno število porodov zniža na 30 s tem, da študent pri nadaljnjih 20 porodih aktivno sodeluje - </w:t>
      </w:r>
      <w:proofErr w:type="spellStart"/>
      <w:r w:rsidRPr="00357574">
        <w:rPr>
          <w:rFonts w:ascii="Arial" w:hAnsi="Arial" w:cs="Arial"/>
        </w:rPr>
        <w:t>asistira</w:t>
      </w:r>
      <w:proofErr w:type="spellEnd"/>
      <w:r w:rsidRPr="00357574">
        <w:rPr>
          <w:rFonts w:ascii="Arial" w:hAnsi="Arial" w:cs="Arial"/>
        </w:rPr>
        <w:t xml:space="preserve"> (3.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 xml:space="preserve">+ Aktivno sodeluje - </w:t>
      </w:r>
      <w:proofErr w:type="spellStart"/>
      <w:r w:rsidRPr="00357574">
        <w:rPr>
          <w:rFonts w:ascii="Arial" w:hAnsi="Arial" w:cs="Arial"/>
        </w:rPr>
        <w:t>asistira</w:t>
      </w:r>
      <w:proofErr w:type="spellEnd"/>
      <w:r w:rsidRPr="00357574">
        <w:rPr>
          <w:rFonts w:ascii="Arial" w:hAnsi="Arial" w:cs="Arial"/>
        </w:rPr>
        <w:t xml:space="preserve"> pri medeničnih porodih. Kjer to ni možno zaradi pomanjkanja takih porodov, je lahko situacija simulirana (4.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 xml:space="preserve">++ Izvedba </w:t>
      </w:r>
      <w:proofErr w:type="spellStart"/>
      <w:r w:rsidRPr="00357574">
        <w:rPr>
          <w:rFonts w:ascii="Arial" w:hAnsi="Arial" w:cs="Arial"/>
        </w:rPr>
        <w:t>epiziotomije</w:t>
      </w:r>
      <w:proofErr w:type="spellEnd"/>
      <w:r w:rsidRPr="00357574">
        <w:rPr>
          <w:rFonts w:ascii="Arial" w:hAnsi="Arial" w:cs="Arial"/>
        </w:rPr>
        <w:t xml:space="preserve"> in uvajanje v šivanje </w:t>
      </w:r>
      <w:proofErr w:type="spellStart"/>
      <w:r w:rsidRPr="00357574">
        <w:rPr>
          <w:rFonts w:ascii="Arial" w:hAnsi="Arial" w:cs="Arial"/>
        </w:rPr>
        <w:t>epiziotomijske</w:t>
      </w:r>
      <w:proofErr w:type="spellEnd"/>
      <w:r w:rsidRPr="00357574">
        <w:rPr>
          <w:rFonts w:ascii="Arial" w:hAnsi="Arial" w:cs="Arial"/>
        </w:rPr>
        <w:t xml:space="preserve"> rane ter manjših </w:t>
      </w:r>
      <w:proofErr w:type="spellStart"/>
      <w:r w:rsidRPr="00357574">
        <w:rPr>
          <w:rFonts w:ascii="Arial" w:hAnsi="Arial" w:cs="Arial"/>
        </w:rPr>
        <w:t>ruptur</w:t>
      </w:r>
      <w:proofErr w:type="spellEnd"/>
      <w:r w:rsidRPr="00357574">
        <w:rPr>
          <w:rFonts w:ascii="Arial" w:hAnsi="Arial" w:cs="Arial"/>
        </w:rPr>
        <w:t>. Uvajanje naj se sestoji iz teoretičnega znanja ter praktičnega pouka. V kolikor res ni mogoče drugače, se lahko učenje šivanja uči v simulirani situaciji (5.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>+++ Babiška nega in vodstvo 40 rizičnih nosečnic ali porodnic ali otročnic (6.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>° Babiška nega in nadzor s pregledom najmanj 100 otročnic in zdravih novorojenčkov (7.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 xml:space="preserve">°° Opazovanje in babiška nega novorojenčkov s posebnimi potrebami, vključno s prezgodaj rojenimi, </w:t>
      </w:r>
      <w:proofErr w:type="spellStart"/>
      <w:r w:rsidRPr="00357574">
        <w:rPr>
          <w:rFonts w:ascii="Arial" w:hAnsi="Arial" w:cs="Arial"/>
        </w:rPr>
        <w:t>prenošenimi</w:t>
      </w:r>
      <w:proofErr w:type="spellEnd"/>
      <w:r w:rsidRPr="00357574">
        <w:rPr>
          <w:rFonts w:ascii="Arial" w:hAnsi="Arial" w:cs="Arial"/>
        </w:rPr>
        <w:t>, zahiranimi ter bolnimi (8.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>°°° Babiška nega žensk s patološkimi stanji v ginekologiji in porodništvu (9.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jc w:val="both"/>
        <w:rPr>
          <w:rFonts w:ascii="Arial" w:hAnsi="Arial" w:cs="Arial"/>
        </w:rPr>
      </w:pPr>
      <w:r w:rsidRPr="00357574">
        <w:rPr>
          <w:rFonts w:ascii="Arial" w:hAnsi="Arial" w:cs="Arial"/>
        </w:rPr>
        <w:t>× Uvajanje v babiško nego na področju medicine in kirurgije. Uvajanje naj zajema teoretično znanje ter praktični pouk (10. točka)</w:t>
      </w:r>
    </w:p>
    <w:p w:rsidR="00357574" w:rsidRPr="00357574" w:rsidRDefault="00357574" w:rsidP="00357574">
      <w:pPr>
        <w:jc w:val="both"/>
        <w:rPr>
          <w:rFonts w:ascii="Arial" w:hAnsi="Arial" w:cs="Arial"/>
        </w:rPr>
      </w:pP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 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  <w:i/>
        </w:rPr>
      </w:pPr>
      <w:r w:rsidRPr="00357574">
        <w:rPr>
          <w:rFonts w:ascii="Arial" w:hAnsi="Arial"/>
          <w:b/>
          <w:i/>
        </w:rPr>
        <w:t xml:space="preserve">2.3. Razmerje predavanj, seminarjev in vaj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Celoten študijski program obsega: 4.600 ur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Predavanj: </w:t>
      </w:r>
      <w:r w:rsidRPr="00357574">
        <w:rPr>
          <w:rFonts w:ascii="Arial" w:hAnsi="Arial"/>
        </w:rPr>
        <w:tab/>
        <w:t>1.290 ur, kar je 28,04 % od skupnega števila ur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Seminarjev</w:t>
      </w:r>
      <w:proofErr w:type="spellEnd"/>
      <w:r w:rsidRPr="00357574">
        <w:rPr>
          <w:rFonts w:ascii="Arial" w:hAnsi="Arial"/>
          <w:lang w:val="de-DE"/>
        </w:rPr>
        <w:t xml:space="preserve">: </w:t>
      </w:r>
      <w:r w:rsidRPr="00357574">
        <w:rPr>
          <w:rFonts w:ascii="Arial" w:hAnsi="Arial"/>
          <w:lang w:val="de-DE"/>
        </w:rPr>
        <w:tab/>
        <w:t xml:space="preserve">   265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kar</w:t>
      </w:r>
      <w:proofErr w:type="spellEnd"/>
      <w:r w:rsidRPr="00357574">
        <w:rPr>
          <w:rFonts w:ascii="Arial" w:hAnsi="Arial"/>
          <w:lang w:val="de-DE"/>
        </w:rPr>
        <w:t xml:space="preserve"> je  5,76 % </w:t>
      </w:r>
      <w:proofErr w:type="spellStart"/>
      <w:r w:rsidRPr="00357574">
        <w:rPr>
          <w:rFonts w:ascii="Arial" w:hAnsi="Arial"/>
          <w:lang w:val="de-DE"/>
        </w:rPr>
        <w:t>od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skupnega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števila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Vaj</w:t>
      </w:r>
      <w:proofErr w:type="spellEnd"/>
      <w:r w:rsidRPr="00357574">
        <w:rPr>
          <w:rFonts w:ascii="Arial" w:hAnsi="Arial"/>
          <w:lang w:val="de-DE"/>
        </w:rPr>
        <w:t xml:space="preserve">: </w:t>
      </w:r>
      <w:r w:rsidRPr="00357574">
        <w:rPr>
          <w:rFonts w:ascii="Arial" w:hAnsi="Arial"/>
          <w:lang w:val="de-DE"/>
        </w:rPr>
        <w:tab/>
        <w:t xml:space="preserve"> </w:t>
      </w:r>
      <w:r w:rsidRPr="00357574">
        <w:rPr>
          <w:rFonts w:ascii="Arial" w:hAnsi="Arial"/>
          <w:lang w:val="de-DE"/>
        </w:rPr>
        <w:tab/>
        <w:t xml:space="preserve">   695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kar</w:t>
      </w:r>
      <w:proofErr w:type="spellEnd"/>
      <w:r w:rsidRPr="00357574">
        <w:rPr>
          <w:rFonts w:ascii="Arial" w:hAnsi="Arial"/>
          <w:lang w:val="de-DE"/>
        </w:rPr>
        <w:t xml:space="preserve"> je 15,11% </w:t>
      </w:r>
      <w:proofErr w:type="spellStart"/>
      <w:r w:rsidRPr="00357574">
        <w:rPr>
          <w:rFonts w:ascii="Arial" w:hAnsi="Arial"/>
          <w:lang w:val="de-DE"/>
        </w:rPr>
        <w:t>od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skupnega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števila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Prakse</w:t>
      </w:r>
      <w:proofErr w:type="spellEnd"/>
      <w:r w:rsidRPr="00357574">
        <w:rPr>
          <w:rFonts w:ascii="Arial" w:hAnsi="Arial"/>
          <w:lang w:val="de-DE"/>
        </w:rPr>
        <w:t>:</w:t>
      </w:r>
      <w:r w:rsidRPr="00357574">
        <w:rPr>
          <w:rFonts w:ascii="Arial" w:hAnsi="Arial"/>
          <w:lang w:val="de-DE"/>
        </w:rPr>
        <w:tab/>
        <w:t xml:space="preserve">2.350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kar</w:t>
      </w:r>
      <w:proofErr w:type="spellEnd"/>
      <w:r w:rsidRPr="00357574">
        <w:rPr>
          <w:rFonts w:ascii="Arial" w:hAnsi="Arial"/>
          <w:lang w:val="de-DE"/>
        </w:rPr>
        <w:t xml:space="preserve"> je 51,09 % </w:t>
      </w:r>
      <w:proofErr w:type="spellStart"/>
      <w:r w:rsidRPr="00357574">
        <w:rPr>
          <w:rFonts w:ascii="Arial" w:hAnsi="Arial"/>
          <w:lang w:val="de-DE"/>
        </w:rPr>
        <w:t>od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skupnega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števila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  <w:lang w:val="de-DE"/>
        </w:rPr>
      </w:pPr>
      <w:proofErr w:type="spellStart"/>
      <w:r w:rsidRPr="00357574">
        <w:rPr>
          <w:rFonts w:ascii="Arial" w:hAnsi="Arial"/>
          <w:b/>
          <w:lang w:val="de-DE"/>
        </w:rPr>
        <w:t>Skupaj</w:t>
      </w:r>
      <w:proofErr w:type="spellEnd"/>
      <w:r w:rsidRPr="00357574">
        <w:rPr>
          <w:rFonts w:ascii="Arial" w:hAnsi="Arial"/>
          <w:b/>
          <w:lang w:val="de-DE"/>
        </w:rPr>
        <w:t xml:space="preserve">: </w:t>
      </w:r>
      <w:r w:rsidRPr="00357574">
        <w:rPr>
          <w:rFonts w:ascii="Arial" w:hAnsi="Arial"/>
          <w:b/>
          <w:lang w:val="de-DE"/>
        </w:rPr>
        <w:tab/>
        <w:t xml:space="preserve">4.600 </w:t>
      </w:r>
      <w:proofErr w:type="spellStart"/>
      <w:r w:rsidRPr="00357574">
        <w:rPr>
          <w:rFonts w:ascii="Arial" w:hAnsi="Arial"/>
          <w:b/>
          <w:lang w:val="de-DE"/>
        </w:rPr>
        <w:t>ur</w:t>
      </w:r>
      <w:proofErr w:type="spellEnd"/>
      <w:r w:rsidRPr="00357574">
        <w:rPr>
          <w:rFonts w:ascii="Arial" w:hAnsi="Arial"/>
          <w:b/>
          <w:lang w:val="de-DE"/>
        </w:rPr>
        <w:t xml:space="preserve"> ........</w:t>
      </w:r>
      <w:r w:rsidRPr="00357574">
        <w:rPr>
          <w:rFonts w:ascii="Arial" w:hAnsi="Arial"/>
          <w:b/>
          <w:lang w:val="de-DE"/>
        </w:rPr>
        <w:tab/>
      </w:r>
      <w:r w:rsidRPr="00357574">
        <w:rPr>
          <w:rFonts w:ascii="Arial" w:hAnsi="Arial"/>
          <w:b/>
          <w:lang w:val="de-DE"/>
        </w:rPr>
        <w:tab/>
        <w:t>100 %</w:t>
      </w:r>
    </w:p>
    <w:p w:rsidR="00357574" w:rsidRPr="00357574" w:rsidRDefault="00357574" w:rsidP="00357574">
      <w:pPr>
        <w:spacing w:before="100" w:after="100"/>
        <w:rPr>
          <w:rFonts w:ascii="Arial" w:hAnsi="Arial"/>
          <w:lang w:val="de-DE"/>
        </w:rPr>
      </w:pPr>
      <w:r w:rsidRPr="00357574">
        <w:rPr>
          <w:rFonts w:ascii="Arial" w:hAnsi="Arial"/>
          <w:lang w:val="de-DE"/>
        </w:rPr>
        <w:t>  </w:t>
      </w:r>
    </w:p>
    <w:p w:rsidR="00357574" w:rsidRPr="00357574" w:rsidRDefault="00357574" w:rsidP="00357574">
      <w:pPr>
        <w:spacing w:before="100" w:after="100"/>
        <w:rPr>
          <w:rFonts w:ascii="Arial" w:hAnsi="Arial"/>
          <w:b/>
          <w:i/>
          <w:lang w:val="de-DE"/>
        </w:rPr>
      </w:pPr>
    </w:p>
    <w:p w:rsidR="00357574" w:rsidRPr="00357574" w:rsidRDefault="00357574" w:rsidP="00357574">
      <w:pPr>
        <w:spacing w:before="100" w:after="100"/>
        <w:rPr>
          <w:rFonts w:ascii="Arial" w:hAnsi="Arial"/>
          <w:b/>
          <w:i/>
          <w:lang w:val="de-DE"/>
        </w:rPr>
      </w:pPr>
    </w:p>
    <w:p w:rsidR="00357574" w:rsidRPr="00357574" w:rsidRDefault="00357574" w:rsidP="00357574">
      <w:pPr>
        <w:spacing w:before="100" w:after="100"/>
        <w:rPr>
          <w:rFonts w:ascii="Arial" w:hAnsi="Arial"/>
          <w:b/>
          <w:i/>
          <w:lang w:val="de-DE"/>
        </w:rPr>
      </w:pPr>
      <w:r w:rsidRPr="00357574">
        <w:rPr>
          <w:rFonts w:ascii="Arial" w:hAnsi="Arial"/>
          <w:b/>
          <w:i/>
          <w:lang w:val="de-DE"/>
        </w:rPr>
        <w:lastRenderedPageBreak/>
        <w:t xml:space="preserve">2.4. </w:t>
      </w:r>
      <w:proofErr w:type="spellStart"/>
      <w:r w:rsidRPr="00357574">
        <w:rPr>
          <w:rFonts w:ascii="Arial" w:hAnsi="Arial"/>
          <w:b/>
          <w:i/>
          <w:lang w:val="de-DE"/>
        </w:rPr>
        <w:t>Delež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</w:t>
      </w:r>
      <w:proofErr w:type="spellStart"/>
      <w:r w:rsidRPr="00357574">
        <w:rPr>
          <w:rFonts w:ascii="Arial" w:hAnsi="Arial"/>
          <w:b/>
          <w:i/>
          <w:lang w:val="de-DE"/>
        </w:rPr>
        <w:t>prakse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v </w:t>
      </w:r>
      <w:proofErr w:type="spellStart"/>
      <w:r w:rsidRPr="00357574">
        <w:rPr>
          <w:rFonts w:ascii="Arial" w:hAnsi="Arial"/>
          <w:b/>
          <w:i/>
          <w:lang w:val="de-DE"/>
        </w:rPr>
        <w:t>študijskem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</w:t>
      </w:r>
      <w:proofErr w:type="spellStart"/>
      <w:r w:rsidRPr="00357574">
        <w:rPr>
          <w:rFonts w:ascii="Arial" w:hAnsi="Arial"/>
          <w:b/>
          <w:i/>
          <w:lang w:val="de-DE"/>
        </w:rPr>
        <w:t>programu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in </w:t>
      </w:r>
      <w:proofErr w:type="spellStart"/>
      <w:r w:rsidRPr="00357574">
        <w:rPr>
          <w:rFonts w:ascii="Arial" w:hAnsi="Arial"/>
          <w:b/>
          <w:i/>
          <w:lang w:val="de-DE"/>
        </w:rPr>
        <w:t>način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</w:t>
      </w:r>
      <w:proofErr w:type="spellStart"/>
      <w:r w:rsidRPr="00357574">
        <w:rPr>
          <w:rFonts w:ascii="Arial" w:hAnsi="Arial"/>
          <w:b/>
          <w:i/>
          <w:lang w:val="de-DE"/>
        </w:rPr>
        <w:t>njene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</w:t>
      </w:r>
      <w:proofErr w:type="spellStart"/>
      <w:r w:rsidRPr="00357574">
        <w:rPr>
          <w:rFonts w:ascii="Arial" w:hAnsi="Arial"/>
          <w:b/>
          <w:i/>
          <w:lang w:val="de-DE"/>
        </w:rPr>
        <w:t>izvedbe</w:t>
      </w:r>
      <w:proofErr w:type="spellEnd"/>
      <w:r w:rsidRPr="00357574">
        <w:rPr>
          <w:rFonts w:ascii="Arial" w:hAnsi="Arial"/>
          <w:b/>
          <w:i/>
          <w:lang w:val="de-DE"/>
        </w:rPr>
        <w:t xml:space="preserve"> </w:t>
      </w:r>
    </w:p>
    <w:p w:rsidR="00357574" w:rsidRPr="00357574" w:rsidRDefault="00357574" w:rsidP="00357574">
      <w:pPr>
        <w:spacing w:before="100" w:after="100"/>
        <w:rPr>
          <w:rFonts w:ascii="Arial" w:hAnsi="Arial"/>
          <w:lang w:val="de-DE"/>
        </w:rPr>
      </w:pPr>
      <w:r w:rsidRPr="00357574">
        <w:rPr>
          <w:rFonts w:ascii="Arial" w:hAnsi="Arial"/>
          <w:lang w:val="de-DE"/>
        </w:rPr>
        <w:t xml:space="preserve">V </w:t>
      </w:r>
      <w:proofErr w:type="spellStart"/>
      <w:r w:rsidRPr="00357574">
        <w:rPr>
          <w:rFonts w:ascii="Arial" w:hAnsi="Arial"/>
          <w:lang w:val="de-DE"/>
        </w:rPr>
        <w:t>študijskem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programu</w:t>
      </w:r>
      <w:proofErr w:type="spellEnd"/>
      <w:r w:rsidRPr="00357574">
        <w:rPr>
          <w:rFonts w:ascii="Arial" w:hAnsi="Arial"/>
          <w:lang w:val="de-DE"/>
        </w:rPr>
        <w:t xml:space="preserve"> je </w:t>
      </w:r>
      <w:proofErr w:type="spellStart"/>
      <w:r w:rsidRPr="00357574">
        <w:rPr>
          <w:rFonts w:ascii="Arial" w:hAnsi="Arial"/>
          <w:lang w:val="de-DE"/>
        </w:rPr>
        <w:t>praksa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opredeljena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kot</w:t>
      </w:r>
      <w:proofErr w:type="spellEnd"/>
      <w:r w:rsidRPr="00357574">
        <w:rPr>
          <w:rFonts w:ascii="Arial" w:hAnsi="Arial"/>
          <w:lang w:val="de-DE"/>
        </w:rPr>
        <w:t xml:space="preserve"> 40 </w:t>
      </w:r>
      <w:proofErr w:type="spellStart"/>
      <w:r w:rsidRPr="00357574">
        <w:rPr>
          <w:rFonts w:ascii="Arial" w:hAnsi="Arial"/>
          <w:lang w:val="de-DE"/>
        </w:rPr>
        <w:t>urna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tedenska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obveznost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ki</w:t>
      </w:r>
      <w:proofErr w:type="spellEnd"/>
      <w:r w:rsidRPr="00357574">
        <w:rPr>
          <w:rFonts w:ascii="Arial" w:hAnsi="Arial"/>
          <w:lang w:val="de-DE"/>
        </w:rPr>
        <w:t xml:space="preserve"> se </w:t>
      </w:r>
      <w:proofErr w:type="spellStart"/>
      <w:r w:rsidRPr="00357574">
        <w:rPr>
          <w:rFonts w:ascii="Arial" w:hAnsi="Arial"/>
          <w:lang w:val="de-DE"/>
        </w:rPr>
        <w:t>izvede</w:t>
      </w:r>
      <w:proofErr w:type="spellEnd"/>
      <w:r w:rsidRPr="00357574">
        <w:rPr>
          <w:rFonts w:ascii="Arial" w:hAnsi="Arial"/>
          <w:lang w:val="de-DE"/>
        </w:rPr>
        <w:t xml:space="preserve"> v </w:t>
      </w:r>
      <w:proofErr w:type="spellStart"/>
      <w:r w:rsidRPr="00357574">
        <w:rPr>
          <w:rFonts w:ascii="Arial" w:hAnsi="Arial"/>
          <w:lang w:val="de-DE"/>
        </w:rPr>
        <w:t>času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študija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absoventskega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staža</w:t>
      </w:r>
      <w:proofErr w:type="spellEnd"/>
      <w:r w:rsidRPr="00357574">
        <w:rPr>
          <w:rFonts w:ascii="Arial" w:hAnsi="Arial"/>
          <w:lang w:val="de-DE"/>
        </w:rPr>
        <w:t xml:space="preserve">, na </w:t>
      </w:r>
      <w:proofErr w:type="spellStart"/>
      <w:r w:rsidRPr="00357574">
        <w:rPr>
          <w:rFonts w:ascii="Arial" w:hAnsi="Arial"/>
          <w:lang w:val="de-DE"/>
        </w:rPr>
        <w:t>strokovnih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področjih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navedenih</w:t>
      </w:r>
      <w:proofErr w:type="spellEnd"/>
      <w:r w:rsidRPr="00357574">
        <w:rPr>
          <w:rFonts w:ascii="Arial" w:hAnsi="Arial"/>
          <w:lang w:val="de-DE"/>
        </w:rPr>
        <w:t xml:space="preserve"> v </w:t>
      </w:r>
      <w:proofErr w:type="spellStart"/>
      <w:r w:rsidRPr="00357574">
        <w:rPr>
          <w:rFonts w:ascii="Arial" w:hAnsi="Arial"/>
          <w:lang w:val="de-DE"/>
        </w:rPr>
        <w:t>modulniku</w:t>
      </w:r>
      <w:proofErr w:type="spellEnd"/>
      <w:r w:rsidRPr="00357574">
        <w:rPr>
          <w:rFonts w:ascii="Arial" w:hAnsi="Arial"/>
          <w:lang w:val="de-DE"/>
        </w:rPr>
        <w:t xml:space="preserve"> – </w:t>
      </w:r>
      <w:proofErr w:type="spellStart"/>
      <w:r w:rsidRPr="00357574">
        <w:rPr>
          <w:rFonts w:ascii="Arial" w:hAnsi="Arial"/>
          <w:lang w:val="de-DE"/>
        </w:rPr>
        <w:t>predmeniku</w:t>
      </w:r>
      <w:proofErr w:type="spellEnd"/>
      <w:r w:rsidRPr="00357574">
        <w:rPr>
          <w:rFonts w:ascii="Arial" w:hAnsi="Arial"/>
          <w:lang w:val="de-DE"/>
        </w:rPr>
        <w:t xml:space="preserve">. </w:t>
      </w:r>
      <w:proofErr w:type="spellStart"/>
      <w:r w:rsidRPr="00357574">
        <w:rPr>
          <w:rFonts w:ascii="Arial" w:hAnsi="Arial"/>
          <w:lang w:val="de-DE"/>
        </w:rPr>
        <w:t>Organizira</w:t>
      </w:r>
      <w:proofErr w:type="spellEnd"/>
      <w:r w:rsidRPr="00357574">
        <w:rPr>
          <w:rFonts w:ascii="Arial" w:hAnsi="Arial"/>
          <w:lang w:val="de-DE"/>
        </w:rPr>
        <w:t xml:space="preserve"> se v </w:t>
      </w:r>
      <w:proofErr w:type="spellStart"/>
      <w:r w:rsidRPr="00357574">
        <w:rPr>
          <w:rFonts w:ascii="Arial" w:hAnsi="Arial"/>
          <w:lang w:val="de-DE"/>
        </w:rPr>
        <w:t>skladu</w:t>
      </w:r>
      <w:proofErr w:type="spellEnd"/>
      <w:r w:rsidRPr="00357574">
        <w:rPr>
          <w:rFonts w:ascii="Arial" w:hAnsi="Arial"/>
          <w:lang w:val="de-DE"/>
        </w:rPr>
        <w:t xml:space="preserve"> z </w:t>
      </w:r>
      <w:proofErr w:type="spellStart"/>
      <w:r w:rsidRPr="00357574">
        <w:rPr>
          <w:rFonts w:ascii="Arial" w:hAnsi="Arial"/>
          <w:lang w:val="de-DE"/>
        </w:rPr>
        <w:t>dogovorom</w:t>
      </w:r>
      <w:proofErr w:type="spellEnd"/>
      <w:r w:rsidRPr="00357574">
        <w:rPr>
          <w:rFonts w:ascii="Arial" w:hAnsi="Arial"/>
          <w:lang w:val="de-DE"/>
        </w:rPr>
        <w:t xml:space="preserve"> z </w:t>
      </w:r>
      <w:proofErr w:type="spellStart"/>
      <w:r w:rsidRPr="00357574">
        <w:rPr>
          <w:rFonts w:ascii="Arial" w:hAnsi="Arial"/>
          <w:lang w:val="de-DE"/>
        </w:rPr>
        <w:t>zdravstvenimi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ustanovami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določili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sektorske</w:t>
      </w:r>
      <w:proofErr w:type="spellEnd"/>
      <w:r w:rsidRPr="00357574">
        <w:rPr>
          <w:rFonts w:ascii="Arial" w:hAnsi="Arial"/>
          <w:lang w:val="de-DE"/>
        </w:rPr>
        <w:t xml:space="preserve"> direktive 80/155/ EEC; </w:t>
      </w:r>
      <w:proofErr w:type="spellStart"/>
      <w:r w:rsidRPr="00357574">
        <w:rPr>
          <w:rFonts w:ascii="Arial" w:hAnsi="Arial"/>
          <w:lang w:val="de-DE"/>
        </w:rPr>
        <w:t>Dodatek</w:t>
      </w:r>
      <w:proofErr w:type="spellEnd"/>
      <w:r w:rsidRPr="00357574">
        <w:rPr>
          <w:rFonts w:ascii="Arial" w:hAnsi="Arial"/>
          <w:lang w:val="de-DE"/>
        </w:rPr>
        <w:t xml:space="preserve"> B, </w:t>
      </w:r>
      <w:proofErr w:type="spellStart"/>
      <w:r w:rsidRPr="00357574">
        <w:rPr>
          <w:rFonts w:ascii="Arial" w:hAnsi="Arial"/>
          <w:lang w:val="de-DE"/>
        </w:rPr>
        <w:t>ki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predpisuje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obveznosti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praktičnega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kliničnega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usposabljanja</w:t>
      </w:r>
      <w:proofErr w:type="spellEnd"/>
      <w:r w:rsidRPr="00357574">
        <w:rPr>
          <w:rFonts w:ascii="Arial" w:hAnsi="Arial"/>
          <w:lang w:val="de-DE"/>
        </w:rPr>
        <w:t xml:space="preserve">. </w:t>
      </w:r>
    </w:p>
    <w:p w:rsidR="00357574" w:rsidRPr="00357574" w:rsidRDefault="00357574" w:rsidP="00357574">
      <w:pPr>
        <w:spacing w:before="100" w:after="100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Prakso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vodijo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strokovnjaki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iz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zdravstvenih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ustanov</w:t>
      </w:r>
      <w:proofErr w:type="spellEnd"/>
      <w:r w:rsidRPr="00357574">
        <w:rPr>
          <w:rFonts w:ascii="Arial" w:hAnsi="Arial"/>
          <w:lang w:val="de-DE"/>
        </w:rPr>
        <w:t xml:space="preserve"> (</w:t>
      </w:r>
      <w:proofErr w:type="spellStart"/>
      <w:r w:rsidRPr="00357574">
        <w:rPr>
          <w:rFonts w:ascii="Arial" w:hAnsi="Arial"/>
          <w:lang w:val="de-DE"/>
        </w:rPr>
        <w:t>dodatno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usposobljeni</w:t>
      </w:r>
      <w:proofErr w:type="spellEnd"/>
      <w:r w:rsidRPr="00357574">
        <w:rPr>
          <w:rFonts w:ascii="Arial" w:hAnsi="Arial"/>
          <w:lang w:val="de-DE"/>
        </w:rPr>
        <w:t xml:space="preserve">). </w:t>
      </w:r>
      <w:proofErr w:type="spellStart"/>
      <w:r w:rsidRPr="00357574">
        <w:rPr>
          <w:rFonts w:ascii="Arial" w:hAnsi="Arial"/>
          <w:lang w:val="de-DE"/>
        </w:rPr>
        <w:t>Klinične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vaje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ki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predstavljajo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uvod</w:t>
      </w:r>
      <w:proofErr w:type="spellEnd"/>
      <w:r w:rsidRPr="00357574">
        <w:rPr>
          <w:rFonts w:ascii="Arial" w:hAnsi="Arial"/>
          <w:lang w:val="de-DE"/>
        </w:rPr>
        <w:t xml:space="preserve"> v </w:t>
      </w:r>
      <w:proofErr w:type="spellStart"/>
      <w:r w:rsidRPr="00357574">
        <w:rPr>
          <w:rFonts w:ascii="Arial" w:hAnsi="Arial"/>
          <w:lang w:val="de-DE"/>
        </w:rPr>
        <w:t>prakso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pa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vodijo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habilitirani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visokošolski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učitelji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strokovni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sodelavci</w:t>
      </w:r>
      <w:proofErr w:type="spellEnd"/>
      <w:r w:rsidRPr="00357574">
        <w:rPr>
          <w:rFonts w:ascii="Arial" w:hAnsi="Arial"/>
          <w:lang w:val="de-DE"/>
        </w:rPr>
        <w:t xml:space="preserve"> z </w:t>
      </w:r>
      <w:proofErr w:type="spellStart"/>
      <w:r w:rsidRPr="00357574">
        <w:rPr>
          <w:rFonts w:ascii="Arial" w:hAnsi="Arial"/>
          <w:lang w:val="de-DE"/>
        </w:rPr>
        <w:t>Visoke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šole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za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zdravstvo</w:t>
      </w:r>
      <w:proofErr w:type="spellEnd"/>
      <w:r w:rsidRPr="00357574">
        <w:rPr>
          <w:rFonts w:ascii="Arial" w:hAnsi="Arial"/>
          <w:lang w:val="de-DE"/>
        </w:rPr>
        <w:t xml:space="preserve">. Subjekt </w:t>
      </w:r>
      <w:proofErr w:type="spellStart"/>
      <w:r w:rsidRPr="00357574">
        <w:rPr>
          <w:rFonts w:ascii="Arial" w:hAnsi="Arial"/>
          <w:lang w:val="de-DE"/>
        </w:rPr>
        <w:t>dela</w:t>
      </w:r>
      <w:proofErr w:type="spellEnd"/>
      <w:r w:rsidRPr="00357574">
        <w:rPr>
          <w:rFonts w:ascii="Arial" w:hAnsi="Arial"/>
          <w:lang w:val="de-DE"/>
        </w:rPr>
        <w:t xml:space="preserve"> so </w:t>
      </w:r>
      <w:proofErr w:type="spellStart"/>
      <w:r w:rsidRPr="00357574">
        <w:rPr>
          <w:rFonts w:ascii="Arial" w:hAnsi="Arial"/>
          <w:lang w:val="de-DE"/>
        </w:rPr>
        <w:t>varovanci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zato</w:t>
      </w:r>
      <w:proofErr w:type="spellEnd"/>
      <w:r w:rsidRPr="00357574">
        <w:rPr>
          <w:rFonts w:ascii="Arial" w:hAnsi="Arial"/>
          <w:lang w:val="de-DE"/>
        </w:rPr>
        <w:t xml:space="preserve"> je </w:t>
      </w:r>
      <w:proofErr w:type="spellStart"/>
      <w:r w:rsidRPr="00357574">
        <w:rPr>
          <w:rFonts w:ascii="Arial" w:hAnsi="Arial"/>
          <w:lang w:val="de-DE"/>
        </w:rPr>
        <w:t>interpersonalna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komunikacija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za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katero</w:t>
      </w:r>
      <w:proofErr w:type="spellEnd"/>
      <w:r w:rsidRPr="00357574">
        <w:rPr>
          <w:rFonts w:ascii="Arial" w:hAnsi="Arial"/>
          <w:lang w:val="de-DE"/>
        </w:rPr>
        <w:t xml:space="preserve"> se </w:t>
      </w:r>
      <w:proofErr w:type="spellStart"/>
      <w:r w:rsidRPr="00357574">
        <w:rPr>
          <w:rFonts w:ascii="Arial" w:hAnsi="Arial"/>
          <w:lang w:val="de-DE"/>
        </w:rPr>
        <w:t>usposabljajo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študenti</w:t>
      </w:r>
      <w:proofErr w:type="spellEnd"/>
      <w:r w:rsidRPr="00357574">
        <w:rPr>
          <w:rFonts w:ascii="Arial" w:hAnsi="Arial"/>
          <w:lang w:val="de-DE"/>
        </w:rPr>
        <w:t xml:space="preserve">, ob </w:t>
      </w:r>
      <w:proofErr w:type="spellStart"/>
      <w:r w:rsidRPr="00357574">
        <w:rPr>
          <w:rFonts w:ascii="Arial" w:hAnsi="Arial"/>
          <w:lang w:val="de-DE"/>
        </w:rPr>
        <w:t>vključevanju</w:t>
      </w:r>
      <w:proofErr w:type="spellEnd"/>
      <w:r w:rsidRPr="00357574">
        <w:rPr>
          <w:rFonts w:ascii="Arial" w:hAnsi="Arial"/>
          <w:lang w:val="de-DE"/>
        </w:rPr>
        <w:t xml:space="preserve"> na </w:t>
      </w:r>
      <w:proofErr w:type="spellStart"/>
      <w:r w:rsidRPr="00357574">
        <w:rPr>
          <w:rFonts w:ascii="Arial" w:hAnsi="Arial"/>
          <w:lang w:val="de-DE"/>
        </w:rPr>
        <w:t>posamezna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področja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prakse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izredno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pomembna</w:t>
      </w:r>
      <w:proofErr w:type="spellEnd"/>
      <w:r w:rsidRPr="00357574">
        <w:rPr>
          <w:rFonts w:ascii="Arial" w:hAnsi="Arial"/>
          <w:lang w:val="de-DE"/>
        </w:rPr>
        <w:t xml:space="preserve">. </w:t>
      </w:r>
      <w:proofErr w:type="spellStart"/>
      <w:r w:rsidRPr="00357574">
        <w:rPr>
          <w:rFonts w:ascii="Arial" w:hAnsi="Arial"/>
          <w:lang w:val="de-DE"/>
        </w:rPr>
        <w:t>Naloga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visokošolskih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učiteljev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strokovnih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sodelavcev</w:t>
      </w:r>
      <w:proofErr w:type="spellEnd"/>
      <w:r w:rsidRPr="00357574">
        <w:rPr>
          <w:rFonts w:ascii="Arial" w:hAnsi="Arial"/>
          <w:lang w:val="de-DE"/>
        </w:rPr>
        <w:t xml:space="preserve"> z </w:t>
      </w:r>
      <w:proofErr w:type="spellStart"/>
      <w:r w:rsidRPr="00357574">
        <w:rPr>
          <w:rFonts w:ascii="Arial" w:hAnsi="Arial"/>
          <w:lang w:val="de-DE"/>
        </w:rPr>
        <w:t>Visoke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šole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za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zdravstvo</w:t>
      </w:r>
      <w:proofErr w:type="spellEnd"/>
      <w:r w:rsidRPr="00357574">
        <w:rPr>
          <w:rFonts w:ascii="Arial" w:hAnsi="Arial"/>
          <w:lang w:val="de-DE"/>
        </w:rPr>
        <w:t xml:space="preserve"> je, da s </w:t>
      </w:r>
      <w:proofErr w:type="spellStart"/>
      <w:r w:rsidRPr="00357574">
        <w:rPr>
          <w:rFonts w:ascii="Arial" w:hAnsi="Arial"/>
          <w:lang w:val="de-DE"/>
        </w:rPr>
        <w:t>svojim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pristopom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poudarijo</w:t>
      </w:r>
      <w:proofErr w:type="spellEnd"/>
      <w:r w:rsidRPr="00357574">
        <w:rPr>
          <w:rFonts w:ascii="Arial" w:hAnsi="Arial"/>
          <w:lang w:val="de-DE"/>
        </w:rPr>
        <w:t xml:space="preserve"> human </w:t>
      </w:r>
      <w:proofErr w:type="spellStart"/>
      <w:r w:rsidRPr="00357574">
        <w:rPr>
          <w:rFonts w:ascii="Arial" w:hAnsi="Arial"/>
          <w:lang w:val="de-DE"/>
        </w:rPr>
        <w:t>odnos</w:t>
      </w:r>
      <w:proofErr w:type="spellEnd"/>
      <w:r w:rsidRPr="00357574">
        <w:rPr>
          <w:rFonts w:ascii="Arial" w:hAnsi="Arial"/>
          <w:lang w:val="de-DE"/>
        </w:rPr>
        <w:t xml:space="preserve"> do </w:t>
      </w:r>
      <w:proofErr w:type="spellStart"/>
      <w:r w:rsidRPr="00357574">
        <w:rPr>
          <w:rFonts w:ascii="Arial" w:hAnsi="Arial"/>
          <w:lang w:val="de-DE"/>
        </w:rPr>
        <w:t>varovancev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celosten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pristop</w:t>
      </w:r>
      <w:proofErr w:type="spellEnd"/>
      <w:r w:rsidRPr="00357574">
        <w:rPr>
          <w:rFonts w:ascii="Arial" w:hAnsi="Arial"/>
          <w:lang w:val="de-DE"/>
        </w:rPr>
        <w:t xml:space="preserve">. </w:t>
      </w:r>
    </w:p>
    <w:p w:rsidR="00357574" w:rsidRPr="00357574" w:rsidRDefault="00357574" w:rsidP="00357574">
      <w:pPr>
        <w:spacing w:before="100" w:after="100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Praksa</w:t>
      </w:r>
      <w:proofErr w:type="spellEnd"/>
      <w:r w:rsidRPr="00357574">
        <w:rPr>
          <w:rFonts w:ascii="Arial" w:hAnsi="Arial"/>
          <w:lang w:val="de-DE"/>
        </w:rPr>
        <w:t xml:space="preserve"> je </w:t>
      </w:r>
      <w:proofErr w:type="spellStart"/>
      <w:r w:rsidRPr="00357574">
        <w:rPr>
          <w:rFonts w:ascii="Arial" w:hAnsi="Arial"/>
          <w:lang w:val="de-DE"/>
        </w:rPr>
        <w:t>ovrednotena</w:t>
      </w:r>
      <w:proofErr w:type="spellEnd"/>
      <w:r w:rsidRPr="00357574">
        <w:rPr>
          <w:rFonts w:ascii="Arial" w:hAnsi="Arial"/>
          <w:lang w:val="de-DE"/>
        </w:rPr>
        <w:t xml:space="preserve"> v </w:t>
      </w:r>
      <w:proofErr w:type="spellStart"/>
      <w:r w:rsidRPr="00357574">
        <w:rPr>
          <w:rFonts w:ascii="Arial" w:hAnsi="Arial"/>
          <w:lang w:val="de-DE"/>
        </w:rPr>
        <w:t>okviru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modulov</w:t>
      </w:r>
      <w:proofErr w:type="spellEnd"/>
      <w:r w:rsidRPr="00357574">
        <w:rPr>
          <w:rFonts w:ascii="Arial" w:hAnsi="Arial"/>
          <w:lang w:val="de-DE"/>
        </w:rPr>
        <w:t xml:space="preserve"> – 2350 </w:t>
      </w:r>
      <w:proofErr w:type="spellStart"/>
      <w:r w:rsidRPr="00357574">
        <w:rPr>
          <w:rFonts w:ascii="Arial" w:hAnsi="Arial"/>
          <w:lang w:val="de-DE"/>
        </w:rPr>
        <w:t>ur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kar</w:t>
      </w:r>
      <w:proofErr w:type="spellEnd"/>
      <w:r w:rsidRPr="00357574">
        <w:rPr>
          <w:rFonts w:ascii="Arial" w:hAnsi="Arial"/>
          <w:lang w:val="de-DE"/>
        </w:rPr>
        <w:t xml:space="preserve"> je 90 ECTS.</w:t>
      </w:r>
    </w:p>
    <w:p w:rsidR="00357574" w:rsidRPr="00357574" w:rsidRDefault="00357574" w:rsidP="00357574">
      <w:pPr>
        <w:spacing w:before="100" w:after="100"/>
        <w:rPr>
          <w:rFonts w:ascii="Arial" w:hAnsi="Arial"/>
          <w:b/>
          <w:i/>
          <w:lang w:val="de-DE"/>
        </w:rPr>
      </w:pPr>
      <w:r w:rsidRPr="00357574">
        <w:rPr>
          <w:rFonts w:ascii="Arial" w:hAnsi="Arial"/>
          <w:b/>
          <w:i/>
          <w:lang w:val="de-DE"/>
        </w:rPr>
        <w:t> </w:t>
      </w:r>
    </w:p>
    <w:p w:rsidR="00357574" w:rsidRPr="00357574" w:rsidRDefault="00357574" w:rsidP="00357574">
      <w:pPr>
        <w:spacing w:before="100" w:after="100"/>
        <w:rPr>
          <w:rFonts w:ascii="Arial" w:hAnsi="Arial"/>
          <w:b/>
          <w:i/>
          <w:lang w:val="de-DE"/>
        </w:rPr>
      </w:pPr>
    </w:p>
    <w:p w:rsidR="00357574" w:rsidRPr="00357574" w:rsidRDefault="00357574" w:rsidP="00357574">
      <w:pPr>
        <w:spacing w:before="100" w:after="100"/>
        <w:rPr>
          <w:rFonts w:ascii="Arial" w:hAnsi="Arial"/>
          <w:b/>
        </w:rPr>
      </w:pPr>
      <w:r w:rsidRPr="00357574">
        <w:rPr>
          <w:rFonts w:ascii="Arial" w:hAnsi="Arial"/>
          <w:lang w:val="de-DE"/>
        </w:rPr>
        <w:t> 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</w:rPr>
      </w:pPr>
      <w:r w:rsidRPr="00357574">
        <w:rPr>
          <w:rFonts w:ascii="Arial" w:hAnsi="Arial"/>
          <w:b/>
        </w:rPr>
        <w:t xml:space="preserve">3. POGOJI ZA VPIS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</w:rPr>
      </w:pPr>
      <w:r w:rsidRPr="00357574">
        <w:rPr>
          <w:rFonts w:ascii="Arial" w:hAnsi="Arial"/>
          <w:b/>
        </w:rPr>
        <w:t> </w:t>
      </w:r>
      <w:r w:rsidRPr="00357574">
        <w:rPr>
          <w:rFonts w:ascii="Arial" w:hAnsi="Arial"/>
        </w:rPr>
        <w:t>V Visokošolski strokovni študijski program babištvo se lahko vpišejo dijaki z zaključnim izpitom, poklicno maturo ali maturo v kateremkoli štiriletnem srednješolskem programu.</w:t>
      </w:r>
    </w:p>
    <w:p w:rsid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> 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</w:rPr>
      </w:pPr>
      <w:r w:rsidRPr="00357574">
        <w:rPr>
          <w:rFonts w:ascii="Arial" w:hAnsi="Arial"/>
          <w:b/>
        </w:rPr>
        <w:t>4. POGOJI ZA NAPREDOVANJE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b/>
          <w:i/>
        </w:rPr>
      </w:pPr>
      <w:r w:rsidRPr="00357574">
        <w:rPr>
          <w:rFonts w:ascii="Arial" w:hAnsi="Arial"/>
          <w:b/>
          <w:i/>
        </w:rPr>
        <w:t xml:space="preserve">4.1. Napredovanje v višji letnik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Študent se lahko vpiše v drugi letnik, če mu manjka pet izpitov iz predmetnika prvega letnika. 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</w:rPr>
      </w:pPr>
      <w:r w:rsidRPr="00357574">
        <w:rPr>
          <w:rFonts w:ascii="Arial" w:hAnsi="Arial"/>
        </w:rPr>
        <w:t xml:space="preserve">Obvezno mora opraviti izpit Babiška nega I, izpit iz Anatomije z embriologijo in Fiziologije, Mikrobiologije s parazitologijo, Profesionalne etike in Porodništva. 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Opraviti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mora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vse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vaje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prakso</w:t>
      </w:r>
      <w:proofErr w:type="spellEnd"/>
      <w:r w:rsidRPr="00357574">
        <w:rPr>
          <w:rFonts w:ascii="Arial" w:hAnsi="Arial"/>
          <w:lang w:val="de-DE"/>
        </w:rPr>
        <w:t xml:space="preserve"> na </w:t>
      </w:r>
      <w:proofErr w:type="spellStart"/>
      <w:r w:rsidRPr="00357574">
        <w:rPr>
          <w:rFonts w:ascii="Arial" w:hAnsi="Arial"/>
          <w:lang w:val="de-DE"/>
        </w:rPr>
        <w:t>katero</w:t>
      </w:r>
      <w:proofErr w:type="spellEnd"/>
      <w:r w:rsidRPr="00357574">
        <w:rPr>
          <w:rFonts w:ascii="Arial" w:hAnsi="Arial"/>
          <w:lang w:val="de-DE"/>
        </w:rPr>
        <w:t xml:space="preserve"> je </w:t>
      </w:r>
      <w:proofErr w:type="spellStart"/>
      <w:r w:rsidRPr="00357574">
        <w:rPr>
          <w:rFonts w:ascii="Arial" w:hAnsi="Arial"/>
          <w:lang w:val="de-DE"/>
        </w:rPr>
        <w:t>bil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razpisan</w:t>
      </w:r>
      <w:proofErr w:type="spellEnd"/>
      <w:r w:rsidRPr="00357574">
        <w:rPr>
          <w:rFonts w:ascii="Arial" w:hAnsi="Arial"/>
          <w:lang w:val="de-DE"/>
        </w:rPr>
        <w:t>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Študent</w:t>
      </w:r>
      <w:proofErr w:type="spellEnd"/>
      <w:r w:rsidRPr="00357574">
        <w:rPr>
          <w:rFonts w:ascii="Arial" w:hAnsi="Arial"/>
          <w:lang w:val="de-DE"/>
        </w:rPr>
        <w:t xml:space="preserve"> se </w:t>
      </w:r>
      <w:proofErr w:type="spellStart"/>
      <w:r w:rsidRPr="00357574">
        <w:rPr>
          <w:rFonts w:ascii="Arial" w:hAnsi="Arial"/>
          <w:lang w:val="de-DE"/>
        </w:rPr>
        <w:t>lahko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vpiše</w:t>
      </w:r>
      <w:proofErr w:type="spellEnd"/>
      <w:r w:rsidRPr="00357574">
        <w:rPr>
          <w:rFonts w:ascii="Arial" w:hAnsi="Arial"/>
          <w:lang w:val="de-DE"/>
        </w:rPr>
        <w:t xml:space="preserve"> v </w:t>
      </w:r>
      <w:proofErr w:type="spellStart"/>
      <w:r w:rsidRPr="00357574">
        <w:rPr>
          <w:rFonts w:ascii="Arial" w:hAnsi="Arial"/>
          <w:lang w:val="de-DE"/>
        </w:rPr>
        <w:t>tretji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letnik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če</w:t>
      </w:r>
      <w:proofErr w:type="spellEnd"/>
      <w:r w:rsidRPr="00357574">
        <w:rPr>
          <w:rFonts w:ascii="Arial" w:hAnsi="Arial"/>
          <w:lang w:val="de-DE"/>
        </w:rPr>
        <w:t xml:space="preserve"> je </w:t>
      </w:r>
      <w:proofErr w:type="spellStart"/>
      <w:r w:rsidRPr="00357574">
        <w:rPr>
          <w:rFonts w:ascii="Arial" w:hAnsi="Arial"/>
          <w:lang w:val="de-DE"/>
        </w:rPr>
        <w:t>opravil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vse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obveznosti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prvega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letnika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osem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izpitov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iz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predmetnika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drugega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letnika</w:t>
      </w:r>
      <w:proofErr w:type="spellEnd"/>
      <w:r w:rsidRPr="00357574">
        <w:rPr>
          <w:rFonts w:ascii="Arial" w:hAnsi="Arial"/>
          <w:lang w:val="de-DE"/>
        </w:rPr>
        <w:t>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Opraviti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mora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vse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vaje</w:t>
      </w:r>
      <w:proofErr w:type="spellEnd"/>
      <w:r w:rsidRPr="00357574">
        <w:rPr>
          <w:rFonts w:ascii="Arial" w:hAnsi="Arial"/>
          <w:lang w:val="de-DE"/>
        </w:rPr>
        <w:t xml:space="preserve"> in </w:t>
      </w:r>
      <w:proofErr w:type="spellStart"/>
      <w:r w:rsidRPr="00357574">
        <w:rPr>
          <w:rFonts w:ascii="Arial" w:hAnsi="Arial"/>
          <w:lang w:val="de-DE"/>
        </w:rPr>
        <w:t>prakso</w:t>
      </w:r>
      <w:proofErr w:type="spellEnd"/>
      <w:r w:rsidRPr="00357574">
        <w:rPr>
          <w:rFonts w:ascii="Arial" w:hAnsi="Arial"/>
          <w:lang w:val="de-DE"/>
        </w:rPr>
        <w:t xml:space="preserve"> na </w:t>
      </w:r>
      <w:proofErr w:type="spellStart"/>
      <w:r w:rsidRPr="00357574">
        <w:rPr>
          <w:rFonts w:ascii="Arial" w:hAnsi="Arial"/>
          <w:lang w:val="de-DE"/>
        </w:rPr>
        <w:t>katero</w:t>
      </w:r>
      <w:proofErr w:type="spellEnd"/>
      <w:r w:rsidRPr="00357574">
        <w:rPr>
          <w:rFonts w:ascii="Arial" w:hAnsi="Arial"/>
          <w:lang w:val="de-DE"/>
        </w:rPr>
        <w:t xml:space="preserve"> je </w:t>
      </w:r>
      <w:proofErr w:type="spellStart"/>
      <w:r w:rsidRPr="00357574">
        <w:rPr>
          <w:rFonts w:ascii="Arial" w:hAnsi="Arial"/>
          <w:lang w:val="de-DE"/>
        </w:rPr>
        <w:t>bil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razpisan</w:t>
      </w:r>
      <w:proofErr w:type="spellEnd"/>
      <w:r w:rsidRPr="00357574">
        <w:rPr>
          <w:rFonts w:ascii="Arial" w:hAnsi="Arial"/>
          <w:lang w:val="de-DE"/>
        </w:rPr>
        <w:t>.</w:t>
      </w:r>
    </w:p>
    <w:p w:rsidR="00357574" w:rsidRPr="00357574" w:rsidRDefault="00357574" w:rsidP="00357574">
      <w:pPr>
        <w:spacing w:before="100" w:after="100"/>
        <w:jc w:val="both"/>
        <w:rPr>
          <w:rFonts w:ascii="Arial" w:hAnsi="Arial"/>
          <w:lang w:val="de-DE"/>
        </w:rPr>
      </w:pPr>
      <w:proofErr w:type="spellStart"/>
      <w:r w:rsidRPr="00357574">
        <w:rPr>
          <w:rFonts w:ascii="Arial" w:hAnsi="Arial"/>
          <w:lang w:val="de-DE"/>
        </w:rPr>
        <w:t>Izredno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uspešni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študenti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imajo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možnost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hitrejšega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napredovanja</w:t>
      </w:r>
      <w:proofErr w:type="spellEnd"/>
      <w:r w:rsidRPr="00357574">
        <w:rPr>
          <w:rFonts w:ascii="Arial" w:hAnsi="Arial"/>
          <w:lang w:val="de-DE"/>
        </w:rPr>
        <w:t xml:space="preserve">, o </w:t>
      </w:r>
      <w:proofErr w:type="spellStart"/>
      <w:r w:rsidRPr="00357574">
        <w:rPr>
          <w:rFonts w:ascii="Arial" w:hAnsi="Arial"/>
          <w:lang w:val="de-DE"/>
        </w:rPr>
        <w:t>čemer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odloča</w:t>
      </w:r>
      <w:proofErr w:type="spellEnd"/>
      <w:r w:rsidRPr="00357574">
        <w:rPr>
          <w:rFonts w:ascii="Arial" w:hAnsi="Arial"/>
          <w:lang w:val="de-DE"/>
        </w:rPr>
        <w:t xml:space="preserve"> na </w:t>
      </w:r>
      <w:proofErr w:type="spellStart"/>
      <w:r w:rsidRPr="00357574">
        <w:rPr>
          <w:rFonts w:ascii="Arial" w:hAnsi="Arial"/>
          <w:lang w:val="de-DE"/>
        </w:rPr>
        <w:t>prošnjo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študenta</w:t>
      </w:r>
      <w:proofErr w:type="spellEnd"/>
      <w:r w:rsidRPr="00357574">
        <w:rPr>
          <w:rFonts w:ascii="Arial" w:hAnsi="Arial"/>
          <w:lang w:val="de-DE"/>
        </w:rPr>
        <w:t xml:space="preserve">, </w:t>
      </w:r>
      <w:proofErr w:type="spellStart"/>
      <w:r w:rsidRPr="00357574">
        <w:rPr>
          <w:rFonts w:ascii="Arial" w:hAnsi="Arial"/>
          <w:lang w:val="de-DE"/>
        </w:rPr>
        <w:t>ustrezni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organi</w:t>
      </w:r>
      <w:proofErr w:type="spellEnd"/>
      <w:r w:rsidRPr="00357574">
        <w:rPr>
          <w:rFonts w:ascii="Arial" w:hAnsi="Arial"/>
          <w:lang w:val="de-DE"/>
        </w:rPr>
        <w:t xml:space="preserve"> </w:t>
      </w:r>
      <w:proofErr w:type="spellStart"/>
      <w:r w:rsidRPr="00357574">
        <w:rPr>
          <w:rFonts w:ascii="Arial" w:hAnsi="Arial"/>
          <w:lang w:val="de-DE"/>
        </w:rPr>
        <w:t>šole</w:t>
      </w:r>
      <w:proofErr w:type="spellEnd"/>
      <w:r w:rsidRPr="00357574">
        <w:rPr>
          <w:rFonts w:ascii="Arial" w:hAnsi="Arial"/>
          <w:lang w:val="de-DE"/>
        </w:rPr>
        <w:t>.</w:t>
      </w:r>
    </w:p>
    <w:p w:rsidR="00357574" w:rsidRDefault="00357574"/>
    <w:sectPr w:rsidR="00357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C7" w:rsidRDefault="001B34C7" w:rsidP="007B77D9">
      <w:r>
        <w:separator/>
      </w:r>
    </w:p>
  </w:endnote>
  <w:endnote w:type="continuationSeparator" w:id="0">
    <w:p w:rsidR="001B34C7" w:rsidRDefault="001B34C7" w:rsidP="007B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4723"/>
      <w:docPartObj>
        <w:docPartGallery w:val="Page Numbers (Bottom of Page)"/>
        <w:docPartUnique/>
      </w:docPartObj>
    </w:sdtPr>
    <w:sdtContent>
      <w:p w:rsidR="007B77D9" w:rsidRDefault="007B77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921">
          <w:rPr>
            <w:noProof/>
          </w:rPr>
          <w:t>10</w:t>
        </w:r>
        <w:r>
          <w:fldChar w:fldCharType="end"/>
        </w:r>
      </w:p>
    </w:sdtContent>
  </w:sdt>
  <w:p w:rsidR="007B77D9" w:rsidRDefault="007B77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C7" w:rsidRDefault="001B34C7" w:rsidP="007B77D9">
      <w:r>
        <w:separator/>
      </w:r>
    </w:p>
  </w:footnote>
  <w:footnote w:type="continuationSeparator" w:id="0">
    <w:p w:rsidR="001B34C7" w:rsidRDefault="001B34C7" w:rsidP="007B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B21"/>
    <w:multiLevelType w:val="multilevel"/>
    <w:tmpl w:val="778EF2F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1">
    <w:nsid w:val="2D252A06"/>
    <w:multiLevelType w:val="hybridMultilevel"/>
    <w:tmpl w:val="DF463F0A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348917AB"/>
    <w:multiLevelType w:val="multilevel"/>
    <w:tmpl w:val="778EF2F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3">
    <w:nsid w:val="43DA3D47"/>
    <w:multiLevelType w:val="multilevel"/>
    <w:tmpl w:val="778EF2F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4">
    <w:nsid w:val="4CC90794"/>
    <w:multiLevelType w:val="hybridMultilevel"/>
    <w:tmpl w:val="B77A45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A5C4E"/>
    <w:multiLevelType w:val="multilevel"/>
    <w:tmpl w:val="778EF2F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6">
    <w:nsid w:val="75AA5F31"/>
    <w:multiLevelType w:val="hybridMultilevel"/>
    <w:tmpl w:val="4E00ED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5E"/>
    <w:rsid w:val="00022921"/>
    <w:rsid w:val="001B34C7"/>
    <w:rsid w:val="002239C6"/>
    <w:rsid w:val="00357574"/>
    <w:rsid w:val="00555E5E"/>
    <w:rsid w:val="007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5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57574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szCs w:val="24"/>
    </w:rPr>
  </w:style>
  <w:style w:type="paragraph" w:styleId="Naslov2">
    <w:name w:val="heading 2"/>
    <w:basedOn w:val="Navaden"/>
    <w:next w:val="Navaden"/>
    <w:link w:val="Naslov2Znak"/>
    <w:qFormat/>
    <w:rsid w:val="00357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57574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link w:val="Naslov4Znak"/>
    <w:qFormat/>
    <w:rsid w:val="00357574"/>
    <w:pPr>
      <w:keepNext/>
      <w:jc w:val="center"/>
      <w:outlineLvl w:val="3"/>
    </w:pPr>
    <w:rPr>
      <w:rFonts w:ascii="Arial" w:hAnsi="Arial"/>
      <w:b/>
      <w:sz w:val="32"/>
    </w:rPr>
  </w:style>
  <w:style w:type="paragraph" w:styleId="Naslov5">
    <w:name w:val="heading 5"/>
    <w:basedOn w:val="Navaden"/>
    <w:next w:val="Navaden"/>
    <w:link w:val="Naslov5Znak"/>
    <w:qFormat/>
    <w:rsid w:val="00357574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avaden"/>
    <w:next w:val="Navaden"/>
    <w:link w:val="Naslov6Znak"/>
    <w:qFormat/>
    <w:rsid w:val="00357574"/>
    <w:pPr>
      <w:keepNext/>
      <w:jc w:val="center"/>
      <w:outlineLvl w:val="5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Web1">
    <w:name w:val="Normal (Web)1"/>
    <w:basedOn w:val="Navaden"/>
    <w:rsid w:val="00357574"/>
    <w:pPr>
      <w:spacing w:before="100" w:after="100"/>
    </w:pPr>
  </w:style>
  <w:style w:type="character" w:styleId="Poudarek">
    <w:name w:val="Emphasis"/>
    <w:basedOn w:val="Privzetapisavaodstavka"/>
    <w:qFormat/>
    <w:rsid w:val="00357574"/>
    <w:rPr>
      <w:i/>
    </w:rPr>
  </w:style>
  <w:style w:type="character" w:customStyle="1" w:styleId="Naslov1Znak">
    <w:name w:val="Naslov 1 Znak"/>
    <w:basedOn w:val="Privzetapisavaodstavka"/>
    <w:link w:val="Naslov1"/>
    <w:rsid w:val="00357574"/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357574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357574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357574"/>
    <w:rPr>
      <w:rFonts w:ascii="Arial" w:eastAsia="Times New Roman" w:hAnsi="Arial" w:cs="Times New Roman"/>
      <w:b/>
      <w:sz w:val="3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357574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357574"/>
    <w:rPr>
      <w:rFonts w:ascii="Arial" w:eastAsia="Times New Roman" w:hAnsi="Arial" w:cs="Times New Roman"/>
      <w:sz w:val="28"/>
      <w:szCs w:val="20"/>
      <w:lang w:eastAsia="sl-SI"/>
    </w:rPr>
  </w:style>
  <w:style w:type="numbering" w:customStyle="1" w:styleId="Brezseznama1">
    <w:name w:val="Brez seznama1"/>
    <w:next w:val="Brezseznama"/>
    <w:semiHidden/>
    <w:rsid w:val="00357574"/>
  </w:style>
  <w:style w:type="character" w:styleId="Hiperpovezava">
    <w:name w:val="Hyperlink"/>
    <w:basedOn w:val="Privzetapisavaodstavka"/>
    <w:rsid w:val="00357574"/>
    <w:rPr>
      <w:color w:val="0000FF"/>
      <w:u w:val="single"/>
    </w:rPr>
  </w:style>
  <w:style w:type="character" w:styleId="SledenaHiperpovezava">
    <w:name w:val="FollowedHyperlink"/>
    <w:basedOn w:val="Privzetapisavaodstavka"/>
    <w:rsid w:val="00357574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3575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757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357574"/>
  </w:style>
  <w:style w:type="paragraph" w:styleId="Telobesedila-zamik">
    <w:name w:val="Body Text Indent"/>
    <w:basedOn w:val="Navaden"/>
    <w:link w:val="Telobesedila-zamikZnak"/>
    <w:rsid w:val="00357574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</w:rPr>
  </w:style>
  <w:style w:type="character" w:customStyle="1" w:styleId="Telobesedila-zamikZnak">
    <w:name w:val="Telo besedila - zamik Znak"/>
    <w:basedOn w:val="Privzetapisavaodstavka"/>
    <w:link w:val="Telobesedila-zamik"/>
    <w:rsid w:val="00357574"/>
    <w:rPr>
      <w:rFonts w:ascii="Arial" w:eastAsia="Times New Roman" w:hAnsi="Arial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357574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8"/>
      <w:szCs w:val="24"/>
    </w:rPr>
  </w:style>
  <w:style w:type="character" w:customStyle="1" w:styleId="NaslovZnak">
    <w:name w:val="Naslov Znak"/>
    <w:basedOn w:val="Privzetapisavaodstavka"/>
    <w:link w:val="Naslov"/>
    <w:rsid w:val="00357574"/>
    <w:rPr>
      <w:rFonts w:ascii="Arial" w:eastAsia="Times New Roman" w:hAnsi="Arial" w:cs="Arial"/>
      <w:b/>
      <w:bCs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rsid w:val="00357574"/>
    <w:pPr>
      <w:overflowPunct/>
      <w:autoSpaceDE/>
      <w:autoSpaceDN/>
      <w:adjustRightInd/>
      <w:textAlignment w:val="auto"/>
    </w:pPr>
    <w:rPr>
      <w:rFonts w:ascii="Arial" w:hAnsi="Arial" w:cs="Arial"/>
      <w:sz w:val="32"/>
      <w:szCs w:val="32"/>
    </w:rPr>
  </w:style>
  <w:style w:type="character" w:customStyle="1" w:styleId="TelobesedilaZnak">
    <w:name w:val="Telo besedila Znak"/>
    <w:basedOn w:val="Privzetapisavaodstavka"/>
    <w:link w:val="Telobesedila"/>
    <w:rsid w:val="00357574"/>
    <w:rPr>
      <w:rFonts w:ascii="Arial" w:eastAsia="Times New Roman" w:hAnsi="Arial" w:cs="Arial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357574"/>
    <w:p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357574"/>
    <w:rPr>
      <w:rFonts w:ascii="Arial" w:eastAsia="Times New Roman" w:hAnsi="Arial" w:cs="Arial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rsid w:val="00357574"/>
    <w:pPr>
      <w:jc w:val="both"/>
    </w:pPr>
    <w:rPr>
      <w:rFonts w:ascii="Arial" w:hAnsi="Arial"/>
    </w:rPr>
  </w:style>
  <w:style w:type="character" w:customStyle="1" w:styleId="Telobesedila3Znak">
    <w:name w:val="Telo besedila 3 Znak"/>
    <w:basedOn w:val="Privzetapisavaodstavka"/>
    <w:link w:val="Telobesedila3"/>
    <w:rsid w:val="00357574"/>
    <w:rPr>
      <w:rFonts w:ascii="Arial" w:eastAsia="Times New Roman" w:hAnsi="Arial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357574"/>
    <w:pPr>
      <w:overflowPunct/>
      <w:autoSpaceDE/>
      <w:autoSpaceDN/>
      <w:adjustRightInd/>
      <w:spacing w:before="100" w:after="100"/>
      <w:textAlignment w:val="auto"/>
    </w:pPr>
    <w:rPr>
      <w:lang w:val="en-GB"/>
    </w:rPr>
  </w:style>
  <w:style w:type="paragraph" w:customStyle="1" w:styleId="Navadensplet1">
    <w:name w:val="Navaden (splet)1"/>
    <w:basedOn w:val="Navaden"/>
    <w:link w:val="NavadenspletChar"/>
    <w:rsid w:val="00357574"/>
    <w:pPr>
      <w:overflowPunct/>
      <w:autoSpaceDE/>
      <w:autoSpaceDN/>
      <w:adjustRightInd/>
      <w:spacing w:before="100" w:after="100"/>
      <w:textAlignment w:val="auto"/>
    </w:pPr>
    <w:rPr>
      <w:lang w:val="en-GB"/>
    </w:rPr>
  </w:style>
  <w:style w:type="character" w:customStyle="1" w:styleId="NavadenspletChar">
    <w:name w:val="Navaden (splet) Char"/>
    <w:basedOn w:val="Privzetapisavaodstavka"/>
    <w:link w:val="Navadensplet1"/>
    <w:rsid w:val="00357574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357574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35757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357574"/>
    <w:pPr>
      <w:widowControl w:val="0"/>
      <w:overflowPunct/>
      <w:autoSpaceDE/>
      <w:autoSpaceDN/>
      <w:adjustRightInd/>
      <w:spacing w:before="120"/>
      <w:textAlignment w:val="auto"/>
    </w:pPr>
    <w:rPr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7574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Glava">
    <w:name w:val="header"/>
    <w:basedOn w:val="Navaden"/>
    <w:link w:val="GlavaZnak"/>
    <w:rsid w:val="00357574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b/>
    </w:rPr>
  </w:style>
  <w:style w:type="character" w:customStyle="1" w:styleId="GlavaZnak">
    <w:name w:val="Glava Znak"/>
    <w:basedOn w:val="Privzetapisavaodstavka"/>
    <w:link w:val="Glava"/>
    <w:rsid w:val="0035757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357574"/>
    <w:rPr>
      <w:b/>
    </w:rPr>
  </w:style>
  <w:style w:type="table" w:styleId="Tabelamrea">
    <w:name w:val="Table Grid"/>
    <w:basedOn w:val="Navadnatabela"/>
    <w:rsid w:val="003575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22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5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57574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szCs w:val="24"/>
    </w:rPr>
  </w:style>
  <w:style w:type="paragraph" w:styleId="Naslov2">
    <w:name w:val="heading 2"/>
    <w:basedOn w:val="Navaden"/>
    <w:next w:val="Navaden"/>
    <w:link w:val="Naslov2Znak"/>
    <w:qFormat/>
    <w:rsid w:val="00357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57574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link w:val="Naslov4Znak"/>
    <w:qFormat/>
    <w:rsid w:val="00357574"/>
    <w:pPr>
      <w:keepNext/>
      <w:jc w:val="center"/>
      <w:outlineLvl w:val="3"/>
    </w:pPr>
    <w:rPr>
      <w:rFonts w:ascii="Arial" w:hAnsi="Arial"/>
      <w:b/>
      <w:sz w:val="32"/>
    </w:rPr>
  </w:style>
  <w:style w:type="paragraph" w:styleId="Naslov5">
    <w:name w:val="heading 5"/>
    <w:basedOn w:val="Navaden"/>
    <w:next w:val="Navaden"/>
    <w:link w:val="Naslov5Znak"/>
    <w:qFormat/>
    <w:rsid w:val="00357574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avaden"/>
    <w:next w:val="Navaden"/>
    <w:link w:val="Naslov6Znak"/>
    <w:qFormat/>
    <w:rsid w:val="00357574"/>
    <w:pPr>
      <w:keepNext/>
      <w:jc w:val="center"/>
      <w:outlineLvl w:val="5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Web1">
    <w:name w:val="Normal (Web)1"/>
    <w:basedOn w:val="Navaden"/>
    <w:rsid w:val="00357574"/>
    <w:pPr>
      <w:spacing w:before="100" w:after="100"/>
    </w:pPr>
  </w:style>
  <w:style w:type="character" w:styleId="Poudarek">
    <w:name w:val="Emphasis"/>
    <w:basedOn w:val="Privzetapisavaodstavka"/>
    <w:qFormat/>
    <w:rsid w:val="00357574"/>
    <w:rPr>
      <w:i/>
    </w:rPr>
  </w:style>
  <w:style w:type="character" w:customStyle="1" w:styleId="Naslov1Znak">
    <w:name w:val="Naslov 1 Znak"/>
    <w:basedOn w:val="Privzetapisavaodstavka"/>
    <w:link w:val="Naslov1"/>
    <w:rsid w:val="00357574"/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357574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357574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357574"/>
    <w:rPr>
      <w:rFonts w:ascii="Arial" w:eastAsia="Times New Roman" w:hAnsi="Arial" w:cs="Times New Roman"/>
      <w:b/>
      <w:sz w:val="3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357574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357574"/>
    <w:rPr>
      <w:rFonts w:ascii="Arial" w:eastAsia="Times New Roman" w:hAnsi="Arial" w:cs="Times New Roman"/>
      <w:sz w:val="28"/>
      <w:szCs w:val="20"/>
      <w:lang w:eastAsia="sl-SI"/>
    </w:rPr>
  </w:style>
  <w:style w:type="numbering" w:customStyle="1" w:styleId="Brezseznama1">
    <w:name w:val="Brez seznama1"/>
    <w:next w:val="Brezseznama"/>
    <w:semiHidden/>
    <w:rsid w:val="00357574"/>
  </w:style>
  <w:style w:type="character" w:styleId="Hiperpovezava">
    <w:name w:val="Hyperlink"/>
    <w:basedOn w:val="Privzetapisavaodstavka"/>
    <w:rsid w:val="00357574"/>
    <w:rPr>
      <w:color w:val="0000FF"/>
      <w:u w:val="single"/>
    </w:rPr>
  </w:style>
  <w:style w:type="character" w:styleId="SledenaHiperpovezava">
    <w:name w:val="FollowedHyperlink"/>
    <w:basedOn w:val="Privzetapisavaodstavka"/>
    <w:rsid w:val="00357574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3575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757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357574"/>
  </w:style>
  <w:style w:type="paragraph" w:styleId="Telobesedila-zamik">
    <w:name w:val="Body Text Indent"/>
    <w:basedOn w:val="Navaden"/>
    <w:link w:val="Telobesedila-zamikZnak"/>
    <w:rsid w:val="00357574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</w:rPr>
  </w:style>
  <w:style w:type="character" w:customStyle="1" w:styleId="Telobesedila-zamikZnak">
    <w:name w:val="Telo besedila - zamik Znak"/>
    <w:basedOn w:val="Privzetapisavaodstavka"/>
    <w:link w:val="Telobesedila-zamik"/>
    <w:rsid w:val="00357574"/>
    <w:rPr>
      <w:rFonts w:ascii="Arial" w:eastAsia="Times New Roman" w:hAnsi="Arial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357574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8"/>
      <w:szCs w:val="24"/>
    </w:rPr>
  </w:style>
  <w:style w:type="character" w:customStyle="1" w:styleId="NaslovZnak">
    <w:name w:val="Naslov Znak"/>
    <w:basedOn w:val="Privzetapisavaodstavka"/>
    <w:link w:val="Naslov"/>
    <w:rsid w:val="00357574"/>
    <w:rPr>
      <w:rFonts w:ascii="Arial" w:eastAsia="Times New Roman" w:hAnsi="Arial" w:cs="Arial"/>
      <w:b/>
      <w:bCs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rsid w:val="00357574"/>
    <w:pPr>
      <w:overflowPunct/>
      <w:autoSpaceDE/>
      <w:autoSpaceDN/>
      <w:adjustRightInd/>
      <w:textAlignment w:val="auto"/>
    </w:pPr>
    <w:rPr>
      <w:rFonts w:ascii="Arial" w:hAnsi="Arial" w:cs="Arial"/>
      <w:sz w:val="32"/>
      <w:szCs w:val="32"/>
    </w:rPr>
  </w:style>
  <w:style w:type="character" w:customStyle="1" w:styleId="TelobesedilaZnak">
    <w:name w:val="Telo besedila Znak"/>
    <w:basedOn w:val="Privzetapisavaodstavka"/>
    <w:link w:val="Telobesedila"/>
    <w:rsid w:val="00357574"/>
    <w:rPr>
      <w:rFonts w:ascii="Arial" w:eastAsia="Times New Roman" w:hAnsi="Arial" w:cs="Arial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357574"/>
    <w:p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357574"/>
    <w:rPr>
      <w:rFonts w:ascii="Arial" w:eastAsia="Times New Roman" w:hAnsi="Arial" w:cs="Arial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rsid w:val="00357574"/>
    <w:pPr>
      <w:jc w:val="both"/>
    </w:pPr>
    <w:rPr>
      <w:rFonts w:ascii="Arial" w:hAnsi="Arial"/>
    </w:rPr>
  </w:style>
  <w:style w:type="character" w:customStyle="1" w:styleId="Telobesedila3Znak">
    <w:name w:val="Telo besedila 3 Znak"/>
    <w:basedOn w:val="Privzetapisavaodstavka"/>
    <w:link w:val="Telobesedila3"/>
    <w:rsid w:val="00357574"/>
    <w:rPr>
      <w:rFonts w:ascii="Arial" w:eastAsia="Times New Roman" w:hAnsi="Arial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357574"/>
    <w:pPr>
      <w:overflowPunct/>
      <w:autoSpaceDE/>
      <w:autoSpaceDN/>
      <w:adjustRightInd/>
      <w:spacing w:before="100" w:after="100"/>
      <w:textAlignment w:val="auto"/>
    </w:pPr>
    <w:rPr>
      <w:lang w:val="en-GB"/>
    </w:rPr>
  </w:style>
  <w:style w:type="paragraph" w:customStyle="1" w:styleId="Navadensplet1">
    <w:name w:val="Navaden (splet)1"/>
    <w:basedOn w:val="Navaden"/>
    <w:link w:val="NavadenspletChar"/>
    <w:rsid w:val="00357574"/>
    <w:pPr>
      <w:overflowPunct/>
      <w:autoSpaceDE/>
      <w:autoSpaceDN/>
      <w:adjustRightInd/>
      <w:spacing w:before="100" w:after="100"/>
      <w:textAlignment w:val="auto"/>
    </w:pPr>
    <w:rPr>
      <w:lang w:val="en-GB"/>
    </w:rPr>
  </w:style>
  <w:style w:type="character" w:customStyle="1" w:styleId="NavadenspletChar">
    <w:name w:val="Navaden (splet) Char"/>
    <w:basedOn w:val="Privzetapisavaodstavka"/>
    <w:link w:val="Navadensplet1"/>
    <w:rsid w:val="00357574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357574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35757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357574"/>
    <w:pPr>
      <w:widowControl w:val="0"/>
      <w:overflowPunct/>
      <w:autoSpaceDE/>
      <w:autoSpaceDN/>
      <w:adjustRightInd/>
      <w:spacing w:before="120"/>
      <w:textAlignment w:val="auto"/>
    </w:pPr>
    <w:rPr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7574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Glava">
    <w:name w:val="header"/>
    <w:basedOn w:val="Navaden"/>
    <w:link w:val="GlavaZnak"/>
    <w:rsid w:val="00357574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b/>
    </w:rPr>
  </w:style>
  <w:style w:type="character" w:customStyle="1" w:styleId="GlavaZnak">
    <w:name w:val="Glava Znak"/>
    <w:basedOn w:val="Privzetapisavaodstavka"/>
    <w:link w:val="Glava"/>
    <w:rsid w:val="0035757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357574"/>
    <w:rPr>
      <w:b/>
    </w:rPr>
  </w:style>
  <w:style w:type="table" w:styleId="Tabelamrea">
    <w:name w:val="Table Grid"/>
    <w:basedOn w:val="Navadnatabela"/>
    <w:rsid w:val="003575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2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2012-06-20T11:55:00Z</dcterms:created>
  <dcterms:modified xsi:type="dcterms:W3CDTF">2012-06-20T12:06:00Z</dcterms:modified>
</cp:coreProperties>
</file>